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E3EB" w14:textId="77777777" w:rsidR="007B1850" w:rsidRDefault="007B1850" w:rsidP="00F916E1">
      <w:pPr>
        <w:spacing w:after="0" w:line="360" w:lineRule="auto"/>
        <w:ind w:left="57" w:right="57"/>
        <w:jc w:val="both"/>
        <w:rPr>
          <w:rFonts w:ascii="Times New Roman" w:eastAsia="Aptos" w:hAnsi="Times New Roman" w:cs="Times New Roman"/>
          <w:b/>
          <w:bCs/>
        </w:rPr>
      </w:pPr>
    </w:p>
    <w:p w14:paraId="0A7F1593" w14:textId="77777777" w:rsidR="007B1850" w:rsidRDefault="007B1850">
      <w:pPr>
        <w:rPr>
          <w:rFonts w:ascii="Times New Roman" w:eastAsia="Aptos" w:hAnsi="Times New Roman" w:cs="Times New Roman"/>
          <w:b/>
          <w:bCs/>
        </w:rPr>
      </w:pPr>
      <w:r>
        <w:rPr>
          <w:rFonts w:ascii="Times New Roman" w:eastAsia="Aptos" w:hAnsi="Times New Roman" w:cs="Times New Roman"/>
          <w:b/>
          <w:bCs/>
        </w:rPr>
        <w:t xml:space="preserve">         </w:t>
      </w:r>
    </w:p>
    <w:p w14:paraId="5A2C32D9" w14:textId="77777777" w:rsidR="007B1850" w:rsidRDefault="007B1850" w:rsidP="007B1850">
      <w:pPr>
        <w:rPr>
          <w:rFonts w:ascii="Times New Roman" w:eastAsia="Aptos" w:hAnsi="Times New Roman" w:cs="Times New Roman"/>
          <w:b/>
          <w:bCs/>
        </w:rPr>
      </w:pPr>
    </w:p>
    <w:p w14:paraId="05D1C761" w14:textId="194D5EA5" w:rsidR="007B1850" w:rsidRDefault="007B1850" w:rsidP="007B1850">
      <w:pPr>
        <w:rPr>
          <w:rFonts w:ascii="Times New Roman" w:eastAsia="Aptos" w:hAnsi="Times New Roman" w:cs="Times New Roman"/>
          <w:b/>
          <w:bCs/>
          <w:sz w:val="52"/>
          <w:szCs w:val="52"/>
        </w:rPr>
      </w:pPr>
      <w:r>
        <w:rPr>
          <w:rFonts w:ascii="Times New Roman" w:eastAsia="Aptos" w:hAnsi="Times New Roman" w:cs="Times New Roman"/>
          <w:b/>
          <w:bCs/>
          <w:sz w:val="52"/>
          <w:szCs w:val="52"/>
        </w:rPr>
        <w:t xml:space="preserve">                </w:t>
      </w:r>
      <w:r w:rsidRPr="007B1850">
        <w:rPr>
          <w:rFonts w:ascii="Times New Roman" w:eastAsia="Aptos" w:hAnsi="Times New Roman" w:cs="Times New Roman"/>
          <w:b/>
          <w:bCs/>
          <w:sz w:val="52"/>
          <w:szCs w:val="52"/>
        </w:rPr>
        <w:t xml:space="preserve">DÜZCE ÜNİVERSİTESİ </w:t>
      </w:r>
    </w:p>
    <w:p w14:paraId="68E25F7F" w14:textId="77777777" w:rsidR="007B1850" w:rsidRDefault="007B1850" w:rsidP="007B1850">
      <w:pPr>
        <w:rPr>
          <w:rFonts w:ascii="Times New Roman" w:eastAsia="Aptos" w:hAnsi="Times New Roman" w:cs="Times New Roman"/>
          <w:b/>
          <w:bCs/>
          <w:sz w:val="52"/>
          <w:szCs w:val="52"/>
        </w:rPr>
      </w:pPr>
      <w:r>
        <w:rPr>
          <w:rFonts w:ascii="Times New Roman" w:eastAsia="Aptos" w:hAnsi="Times New Roman" w:cs="Times New Roman"/>
          <w:b/>
          <w:bCs/>
          <w:sz w:val="52"/>
          <w:szCs w:val="52"/>
        </w:rPr>
        <w:t xml:space="preserve">              </w:t>
      </w:r>
      <w:r w:rsidRPr="007B1850">
        <w:rPr>
          <w:rFonts w:ascii="Times New Roman" w:eastAsia="Aptos" w:hAnsi="Times New Roman" w:cs="Times New Roman"/>
          <w:b/>
          <w:bCs/>
          <w:sz w:val="52"/>
          <w:szCs w:val="52"/>
        </w:rPr>
        <w:t>ECZACILIK FAKÜLTESİ</w:t>
      </w:r>
      <w:r w:rsidRPr="007B1850">
        <w:rPr>
          <w:rFonts w:ascii="Times New Roman" w:eastAsia="Aptos" w:hAnsi="Times New Roman" w:cs="Times New Roman"/>
          <w:b/>
          <w:bCs/>
          <w:sz w:val="52"/>
          <w:szCs w:val="52"/>
        </w:rPr>
        <w:br/>
        <w:t xml:space="preserve">                              </w:t>
      </w:r>
    </w:p>
    <w:p w14:paraId="593C0A66" w14:textId="4416F241" w:rsidR="007B1850" w:rsidRDefault="003A5C5C" w:rsidP="007B1850">
      <w:pPr>
        <w:jc w:val="center"/>
        <w:rPr>
          <w:rFonts w:ascii="Times New Roman" w:eastAsia="Aptos" w:hAnsi="Times New Roman" w:cs="Times New Roman"/>
          <w:b/>
          <w:bCs/>
          <w:sz w:val="52"/>
          <w:szCs w:val="52"/>
        </w:rPr>
      </w:pPr>
      <w:r>
        <w:rPr>
          <w:rFonts w:ascii="Times New Roman" w:eastAsia="Aptos" w:hAnsi="Times New Roman" w:cs="Times New Roman"/>
          <w:b/>
          <w:bCs/>
          <w:sz w:val="52"/>
          <w:szCs w:val="52"/>
        </w:rPr>
        <w:t xml:space="preserve">ECZ </w:t>
      </w:r>
      <w:r w:rsidR="007B1850" w:rsidRPr="007B1850">
        <w:rPr>
          <w:rFonts w:ascii="Times New Roman" w:eastAsia="Aptos" w:hAnsi="Times New Roman" w:cs="Times New Roman"/>
          <w:b/>
          <w:bCs/>
          <w:sz w:val="52"/>
          <w:szCs w:val="52"/>
        </w:rPr>
        <w:t xml:space="preserve">FARMASÖTİK TOKSİKOLOJİ </w:t>
      </w:r>
      <w:r w:rsidR="007B1850">
        <w:rPr>
          <w:rFonts w:ascii="Times New Roman" w:eastAsia="Aptos" w:hAnsi="Times New Roman" w:cs="Times New Roman"/>
          <w:b/>
          <w:bCs/>
          <w:sz w:val="52"/>
          <w:szCs w:val="52"/>
        </w:rPr>
        <w:t xml:space="preserve">               </w:t>
      </w:r>
      <w:r w:rsidR="007B1850" w:rsidRPr="007B1850">
        <w:rPr>
          <w:rFonts w:ascii="Times New Roman" w:eastAsia="Aptos" w:hAnsi="Times New Roman" w:cs="Times New Roman"/>
          <w:b/>
          <w:bCs/>
          <w:sz w:val="52"/>
          <w:szCs w:val="52"/>
        </w:rPr>
        <w:t>LABORATUVAR FÖYÜ</w:t>
      </w:r>
    </w:p>
    <w:p w14:paraId="4DCBCFA4" w14:textId="77777777" w:rsidR="007B1850" w:rsidRDefault="007B1850" w:rsidP="007B1850">
      <w:pPr>
        <w:jc w:val="center"/>
        <w:rPr>
          <w:rFonts w:ascii="Times New Roman" w:eastAsia="Aptos" w:hAnsi="Times New Roman" w:cs="Times New Roman"/>
          <w:b/>
          <w:bCs/>
          <w:sz w:val="52"/>
          <w:szCs w:val="52"/>
        </w:rPr>
      </w:pPr>
    </w:p>
    <w:p w14:paraId="772CD8C8" w14:textId="77777777" w:rsidR="007E5451" w:rsidRDefault="007E5451" w:rsidP="007B1850">
      <w:pPr>
        <w:jc w:val="center"/>
        <w:rPr>
          <w:rFonts w:ascii="Times New Roman" w:eastAsia="Aptos" w:hAnsi="Times New Roman" w:cs="Times New Roman"/>
          <w:b/>
          <w:bCs/>
          <w:sz w:val="52"/>
          <w:szCs w:val="52"/>
        </w:rPr>
      </w:pPr>
    </w:p>
    <w:p w14:paraId="05C16345" w14:textId="77777777" w:rsidR="007B1850" w:rsidRDefault="007B1850" w:rsidP="007B1850">
      <w:pPr>
        <w:jc w:val="center"/>
        <w:rPr>
          <w:rFonts w:ascii="Times New Roman" w:eastAsia="Aptos" w:hAnsi="Times New Roman" w:cs="Times New Roman"/>
          <w:b/>
          <w:bCs/>
          <w:sz w:val="52"/>
          <w:szCs w:val="52"/>
        </w:rPr>
      </w:pPr>
    </w:p>
    <w:p w14:paraId="03EA5A31" w14:textId="77777777" w:rsidR="007B1850" w:rsidRDefault="007B1850" w:rsidP="007B1850">
      <w:pPr>
        <w:jc w:val="center"/>
        <w:rPr>
          <w:rFonts w:ascii="Times New Roman" w:eastAsia="Aptos" w:hAnsi="Times New Roman" w:cs="Times New Roman"/>
          <w:b/>
          <w:bCs/>
          <w:sz w:val="52"/>
          <w:szCs w:val="52"/>
        </w:rPr>
      </w:pPr>
    </w:p>
    <w:p w14:paraId="30D17376" w14:textId="77777777" w:rsidR="007E5451" w:rsidRDefault="007B1850" w:rsidP="007B1850">
      <w:pPr>
        <w:jc w:val="center"/>
        <w:rPr>
          <w:rFonts w:ascii="Times New Roman" w:eastAsia="Aptos" w:hAnsi="Times New Roman" w:cs="Times New Roman"/>
          <w:b/>
          <w:bCs/>
          <w:sz w:val="52"/>
          <w:szCs w:val="52"/>
        </w:rPr>
      </w:pPr>
      <w:r>
        <w:rPr>
          <w:rFonts w:ascii="Times New Roman" w:eastAsia="Aptos" w:hAnsi="Times New Roman" w:cs="Times New Roman"/>
          <w:b/>
          <w:bCs/>
          <w:sz w:val="52"/>
          <w:szCs w:val="52"/>
        </w:rPr>
        <w:t xml:space="preserve">                          </w:t>
      </w:r>
      <w:proofErr w:type="gramStart"/>
      <w:r>
        <w:rPr>
          <w:rFonts w:ascii="Times New Roman" w:eastAsia="Aptos" w:hAnsi="Times New Roman" w:cs="Times New Roman"/>
          <w:b/>
          <w:bCs/>
          <w:sz w:val="52"/>
          <w:szCs w:val="52"/>
        </w:rPr>
        <w:t>Dr.Öğr.Üyesi</w:t>
      </w:r>
      <w:proofErr w:type="gramEnd"/>
      <w:r>
        <w:rPr>
          <w:rFonts w:ascii="Times New Roman" w:eastAsia="Aptos" w:hAnsi="Times New Roman" w:cs="Times New Roman"/>
          <w:b/>
          <w:bCs/>
          <w:sz w:val="52"/>
          <w:szCs w:val="52"/>
        </w:rPr>
        <w:t xml:space="preserve"> Didem Oral</w:t>
      </w:r>
    </w:p>
    <w:p w14:paraId="40DDC385" w14:textId="77777777" w:rsidR="007E5451" w:rsidRDefault="007E5451" w:rsidP="007B1850">
      <w:pPr>
        <w:jc w:val="center"/>
        <w:rPr>
          <w:rFonts w:ascii="Times New Roman" w:eastAsia="Aptos" w:hAnsi="Times New Roman" w:cs="Times New Roman"/>
          <w:b/>
          <w:bCs/>
          <w:sz w:val="52"/>
          <w:szCs w:val="52"/>
        </w:rPr>
      </w:pPr>
    </w:p>
    <w:p w14:paraId="791F436C" w14:textId="77777777" w:rsidR="007E5451" w:rsidRDefault="007E5451" w:rsidP="007B1850">
      <w:pPr>
        <w:jc w:val="center"/>
        <w:rPr>
          <w:rFonts w:ascii="Times New Roman" w:eastAsia="Aptos" w:hAnsi="Times New Roman" w:cs="Times New Roman"/>
          <w:b/>
          <w:bCs/>
          <w:sz w:val="52"/>
          <w:szCs w:val="52"/>
        </w:rPr>
      </w:pPr>
    </w:p>
    <w:p w14:paraId="7407D031" w14:textId="77777777" w:rsidR="007E5451" w:rsidRDefault="007E5451" w:rsidP="007B1850">
      <w:pPr>
        <w:jc w:val="center"/>
        <w:rPr>
          <w:rFonts w:ascii="Times New Roman" w:eastAsia="Aptos" w:hAnsi="Times New Roman" w:cs="Times New Roman"/>
          <w:b/>
          <w:bCs/>
          <w:sz w:val="52"/>
          <w:szCs w:val="52"/>
        </w:rPr>
      </w:pPr>
    </w:p>
    <w:p w14:paraId="02FCF9AB" w14:textId="77777777" w:rsidR="007E5451" w:rsidRDefault="007E5451" w:rsidP="007B1850">
      <w:pPr>
        <w:jc w:val="center"/>
        <w:rPr>
          <w:rFonts w:ascii="Times New Roman" w:eastAsia="Aptos" w:hAnsi="Times New Roman" w:cs="Times New Roman"/>
          <w:b/>
          <w:bCs/>
          <w:sz w:val="52"/>
          <w:szCs w:val="52"/>
        </w:rPr>
      </w:pPr>
    </w:p>
    <w:p w14:paraId="570C2CB0" w14:textId="77777777" w:rsidR="007E5451" w:rsidRDefault="007E5451" w:rsidP="007B1850">
      <w:pPr>
        <w:jc w:val="center"/>
        <w:rPr>
          <w:rFonts w:ascii="Times New Roman" w:eastAsia="Aptos" w:hAnsi="Times New Roman" w:cs="Times New Roman"/>
          <w:b/>
          <w:bCs/>
          <w:sz w:val="18"/>
          <w:szCs w:val="18"/>
        </w:rPr>
      </w:pPr>
      <w:r w:rsidRPr="007E5451">
        <w:rPr>
          <w:rFonts w:ascii="Times New Roman" w:eastAsia="Aptos" w:hAnsi="Times New Roman" w:cs="Times New Roman"/>
          <w:b/>
          <w:bCs/>
          <w:sz w:val="18"/>
          <w:szCs w:val="18"/>
        </w:rPr>
        <w:t>Tüm Hakları Saklıdır.</w:t>
      </w:r>
    </w:p>
    <w:p w14:paraId="448CCEE4" w14:textId="2D1D60D0" w:rsidR="007B1850" w:rsidRPr="007E5451" w:rsidRDefault="007E5451" w:rsidP="007B1850">
      <w:pPr>
        <w:jc w:val="center"/>
        <w:rPr>
          <w:rFonts w:ascii="Times New Roman" w:eastAsia="Aptos" w:hAnsi="Times New Roman" w:cs="Times New Roman"/>
          <w:b/>
          <w:bCs/>
          <w:sz w:val="18"/>
          <w:szCs w:val="18"/>
        </w:rPr>
      </w:pPr>
      <w:r>
        <w:rPr>
          <w:rFonts w:ascii="Times New Roman" w:eastAsia="Aptos" w:hAnsi="Times New Roman" w:cs="Times New Roman"/>
          <w:b/>
          <w:bCs/>
          <w:sz w:val="18"/>
          <w:szCs w:val="18"/>
        </w:rPr>
        <w:t>DÜZCE, 2026</w:t>
      </w:r>
    </w:p>
    <w:p w14:paraId="02258FBF" w14:textId="1585AEBA" w:rsidR="00F916E1" w:rsidRPr="000853E3" w:rsidRDefault="00F916E1" w:rsidP="00F916E1">
      <w:pPr>
        <w:spacing w:after="0" w:line="360" w:lineRule="auto"/>
        <w:ind w:left="57" w:right="57"/>
        <w:jc w:val="both"/>
        <w:rPr>
          <w:rFonts w:ascii="Times New Roman" w:eastAsia="Aptos" w:hAnsi="Times New Roman" w:cs="Times New Roman"/>
          <w:b/>
          <w:bCs/>
        </w:rPr>
      </w:pPr>
      <w:r w:rsidRPr="000853E3">
        <w:rPr>
          <w:rFonts w:ascii="Times New Roman" w:eastAsia="Aptos" w:hAnsi="Times New Roman" w:cs="Times New Roman"/>
          <w:b/>
          <w:bCs/>
        </w:rPr>
        <w:lastRenderedPageBreak/>
        <w:t>GİRİŞ</w:t>
      </w:r>
    </w:p>
    <w:p w14:paraId="1AB51320" w14:textId="77777777" w:rsidR="00F916E1" w:rsidRPr="00DB3AF1" w:rsidRDefault="00F916E1" w:rsidP="00B450BB">
      <w:pPr>
        <w:spacing w:after="0" w:line="360" w:lineRule="auto"/>
        <w:ind w:left="57" w:right="57"/>
        <w:jc w:val="both"/>
        <w:rPr>
          <w:rFonts w:ascii="Times New Roman" w:hAnsi="Times New Roman" w:cs="Times New Roman"/>
        </w:rPr>
      </w:pPr>
      <w:r w:rsidRPr="00DB3AF1">
        <w:rPr>
          <w:rFonts w:ascii="Times New Roman" w:eastAsia="Aptos" w:hAnsi="Times New Roman" w:cs="Times New Roman"/>
        </w:rPr>
        <w:t>Ksenobiyotik, canlı organizma için yabancı olan; yani normal biyokimyasal yapının parçası olmayan kimyasal bileşiklerdir. Başlıca ksenobiyotiklere ilaçlar, karsinojenler ve çevreye insan faaliyetleriyle karışan çeşitli kimyasallar (kirleticiler vb.) örnek verilebilir.</w:t>
      </w:r>
      <w:r w:rsidRPr="00DB3AF1">
        <w:rPr>
          <w:rFonts w:ascii="Times New Roman" w:hAnsi="Times New Roman" w:cs="Times New Roman"/>
        </w:rPr>
        <w:t xml:space="preserve"> </w:t>
      </w:r>
    </w:p>
    <w:p w14:paraId="6755ED97" w14:textId="6FFD0382" w:rsidR="00F916E1" w:rsidRPr="00F916E1" w:rsidRDefault="00F916E1" w:rsidP="00B450BB">
      <w:pPr>
        <w:spacing w:after="0" w:line="360" w:lineRule="auto"/>
        <w:ind w:left="57" w:right="57"/>
        <w:jc w:val="both"/>
        <w:rPr>
          <w:rFonts w:ascii="Times New Roman" w:eastAsia="Aptos" w:hAnsi="Times New Roman" w:cs="Times New Roman"/>
        </w:rPr>
      </w:pPr>
      <w:r w:rsidRPr="00DB3AF1">
        <w:rPr>
          <w:rFonts w:ascii="Times New Roman" w:hAnsi="Times New Roman" w:cs="Times New Roman"/>
        </w:rPr>
        <w:t>O</w:t>
      </w:r>
      <w:r w:rsidRPr="00DB3AF1">
        <w:rPr>
          <w:rFonts w:ascii="Times New Roman" w:eastAsia="Aptos" w:hAnsi="Times New Roman" w:cs="Times New Roman"/>
        </w:rPr>
        <w:t>rganizmaya giren bir ksenobiyotik, vücutta genellikle dört temel süreçten geçer. Bu süreçler birlikte ADME olarak adlandırılır: Absorpsiyon (Emilim) – Dağılım – Metabolizma – Eliminasyon (Atılım).</w:t>
      </w:r>
    </w:p>
    <w:p w14:paraId="0953893C" w14:textId="71982D5D" w:rsidR="00FC17FE" w:rsidRPr="00DB3AF1" w:rsidRDefault="00F916E1" w:rsidP="00B450BB">
      <w:pPr>
        <w:jc w:val="both"/>
        <w:rPr>
          <w:rFonts w:ascii="Times New Roman" w:hAnsi="Times New Roman" w:cs="Times New Roman"/>
        </w:rPr>
      </w:pPr>
      <w:r w:rsidRPr="00DB3AF1">
        <w:rPr>
          <w:rFonts w:ascii="Times New Roman" w:hAnsi="Times New Roman" w:cs="Times New Roman"/>
        </w:rPr>
        <w:t>1.Absorpsiyon (Emilim): Ksenobiyotiğin vücuda girişinden sonra kan veya lenf dolaşımına geçmesidir. En sık emilim bölgeleri GİS, akciğer ve deridir; ayrıca uygulama yoluna bağlı olarak kas içi, deri altı gibi bölgelerden de emilim olabilir.</w:t>
      </w:r>
    </w:p>
    <w:p w14:paraId="51369BC0" w14:textId="0BF9B3F9" w:rsidR="00F916E1" w:rsidRPr="00DB3AF1" w:rsidRDefault="00F916E1" w:rsidP="00B450BB">
      <w:pPr>
        <w:jc w:val="both"/>
        <w:rPr>
          <w:rFonts w:ascii="Times New Roman" w:hAnsi="Times New Roman" w:cs="Times New Roman"/>
        </w:rPr>
      </w:pPr>
      <w:r w:rsidRPr="00DB3AF1">
        <w:rPr>
          <w:rFonts w:ascii="Times New Roman" w:hAnsi="Times New Roman" w:cs="Times New Roman"/>
        </w:rPr>
        <w:t>2.Dağılım (Distribution): Dolaşıma geçen ksenobiyotiğin dokulara taşınması ve vücut bölmelerine dağılımıdır. Dağılımı; doku kan akımı, plazma proteinlerine bağlanma, lipofilisite ve biyolojik bariyerler gibi faktörler etkiler.</w:t>
      </w:r>
    </w:p>
    <w:p w14:paraId="20E4E4A0" w14:textId="39CD503E" w:rsidR="00F916E1" w:rsidRPr="00DB3AF1" w:rsidRDefault="00F916E1" w:rsidP="00B450BB">
      <w:pPr>
        <w:jc w:val="both"/>
        <w:rPr>
          <w:rFonts w:ascii="Times New Roman" w:hAnsi="Times New Roman" w:cs="Times New Roman"/>
        </w:rPr>
      </w:pPr>
      <w:r w:rsidRPr="00DB3AF1">
        <w:rPr>
          <w:rFonts w:ascii="Times New Roman" w:hAnsi="Times New Roman" w:cs="Times New Roman"/>
        </w:rPr>
        <w:t>3.Metabolizma (Biotransformasyon</w:t>
      </w:r>
      <w:r w:rsidR="00F40B4F" w:rsidRPr="00DB3AF1">
        <w:rPr>
          <w:rFonts w:ascii="Times New Roman" w:hAnsi="Times New Roman" w:cs="Times New Roman"/>
        </w:rPr>
        <w:t>): Ksenobiyotiğin</w:t>
      </w:r>
      <w:r w:rsidRPr="00DB3AF1">
        <w:rPr>
          <w:rFonts w:ascii="Times New Roman" w:hAnsi="Times New Roman" w:cs="Times New Roman"/>
        </w:rPr>
        <w:t xml:space="preserve"> çoğunlukla enzimler aracılığıyla daha polar ürünlere dönüştürülmesidir. Bu dönüşüm çoğu zaman atılımı kolaylaştırır; bazı durumlarda ise daha reaktif/toksik metabolitler oluşabilir (biyoaaktivasyon).</w:t>
      </w:r>
    </w:p>
    <w:p w14:paraId="56FFA3DE" w14:textId="201381EB" w:rsidR="00F916E1" w:rsidRPr="00DB3AF1" w:rsidRDefault="00F916E1" w:rsidP="00B450BB">
      <w:pPr>
        <w:jc w:val="both"/>
        <w:rPr>
          <w:rFonts w:ascii="Times New Roman" w:hAnsi="Times New Roman" w:cs="Times New Roman"/>
        </w:rPr>
      </w:pPr>
      <w:r w:rsidRPr="00DB3AF1">
        <w:rPr>
          <w:rFonts w:ascii="Times New Roman" w:hAnsi="Times New Roman" w:cs="Times New Roman"/>
        </w:rPr>
        <w:t>4 Eliminasyon (Atılım</w:t>
      </w:r>
      <w:proofErr w:type="gramStart"/>
      <w:r w:rsidRPr="00DB3AF1">
        <w:rPr>
          <w:rFonts w:ascii="Times New Roman" w:hAnsi="Times New Roman" w:cs="Times New Roman"/>
        </w:rPr>
        <w:t>):Ksenobiyotiğin</w:t>
      </w:r>
      <w:proofErr w:type="gramEnd"/>
      <w:r w:rsidRPr="00DB3AF1">
        <w:rPr>
          <w:rFonts w:ascii="Times New Roman" w:hAnsi="Times New Roman" w:cs="Times New Roman"/>
        </w:rPr>
        <w:t xml:space="preserve"> ve/veya metabolitlerinin vücuttan uzaklaştırılmasıdır. En önemli yollar idrar (böbrek) ve safra/feçes olup, bazı maddeler solunumla da atılabilir.</w:t>
      </w:r>
    </w:p>
    <w:p w14:paraId="396B18D0" w14:textId="77777777" w:rsidR="00F916E1" w:rsidRPr="00DB3AF1" w:rsidRDefault="00F916E1" w:rsidP="00B450BB">
      <w:pPr>
        <w:pBdr>
          <w:top w:val="single" w:sz="18" w:space="1" w:color="auto"/>
          <w:left w:val="single" w:sz="18" w:space="4" w:color="auto"/>
          <w:bottom w:val="single" w:sz="18" w:space="1" w:color="auto"/>
          <w:right w:val="single" w:sz="18" w:space="3" w:color="auto"/>
          <w:between w:val="single" w:sz="18" w:space="1" w:color="auto"/>
          <w:bar w:val="single" w:sz="18" w:color="auto"/>
        </w:pBdr>
        <w:jc w:val="both"/>
        <w:rPr>
          <w:rFonts w:ascii="Times New Roman" w:hAnsi="Times New Roman" w:cs="Times New Roman"/>
        </w:rPr>
      </w:pPr>
      <w:r w:rsidRPr="00DB3AF1">
        <w:rPr>
          <w:rFonts w:ascii="Times New Roman" w:hAnsi="Times New Roman" w:cs="Times New Roman"/>
        </w:rPr>
        <w:t>Maruziyet → Emilim → Dolaşıma geçiş → Dokulara dağılım → Metabolizma (Faz I–Faz II) → Atılım (idrar/safra/solunum)</w:t>
      </w:r>
    </w:p>
    <w:p w14:paraId="1ECB2F2A" w14:textId="1F4F6821" w:rsidR="00F40B4F" w:rsidRPr="00DB3AF1" w:rsidRDefault="00F40B4F" w:rsidP="00B450BB">
      <w:pPr>
        <w:jc w:val="both"/>
        <w:rPr>
          <w:rFonts w:ascii="Times New Roman" w:hAnsi="Times New Roman" w:cs="Times New Roman"/>
        </w:rPr>
      </w:pPr>
      <w:r w:rsidRPr="00DB3AF1">
        <w:rPr>
          <w:rFonts w:ascii="Times New Roman" w:hAnsi="Times New Roman" w:cs="Times New Roman"/>
        </w:rPr>
        <w:t>Ksenobiyotikler vücuda girdikten sonra genellikle ADME süreçlerinin hızı ve yönü; maddenin fizikokimyasal özellikleri (lipofilisite, iyonizasyon vb.), maruziyet yolu ve süresi gibi faktörlere bağlıdır. Bu çerçevede ksenobiyotik maruziyeti belirli bir dozda ve koşullarda klinik tablo oluşturduğunda zehirlenme ve toksisite kavramları devreye girer.</w:t>
      </w:r>
      <w:r w:rsidR="00B450BB" w:rsidRPr="00DB3AF1">
        <w:rPr>
          <w:rFonts w:ascii="Times New Roman" w:hAnsi="Times New Roman" w:cs="Times New Roman"/>
        </w:rPr>
        <w:t xml:space="preserve"> </w:t>
      </w:r>
      <w:r w:rsidRPr="00DB3AF1">
        <w:rPr>
          <w:rFonts w:ascii="Times New Roman" w:hAnsi="Times New Roman" w:cs="Times New Roman"/>
        </w:rPr>
        <w:t>Zehirlenme, toksik kabul edilen dozlarda bir ajana maruziyet sonucu ortaya çıkan klinik durumdur.</w:t>
      </w:r>
    </w:p>
    <w:p w14:paraId="5C03C174" w14:textId="73DC41E6" w:rsidR="00B450BB" w:rsidRPr="00DB3AF1" w:rsidRDefault="00B450BB" w:rsidP="00B450BB">
      <w:pPr>
        <w:jc w:val="both"/>
        <w:rPr>
          <w:rFonts w:ascii="Times New Roman" w:hAnsi="Times New Roman" w:cs="Times New Roman"/>
        </w:rPr>
      </w:pPr>
      <w:r w:rsidRPr="00DB3AF1">
        <w:rPr>
          <w:rFonts w:ascii="Times New Roman" w:hAnsi="Times New Roman" w:cs="Times New Roman"/>
        </w:rPr>
        <w:t>Akut toksisite, tek bir dozdan sonra veya kısa süre içinde (genellikle 24 saat içinde tekrarlayan dozlar) ortaya çıkan ve kısa zaman diliminde (yaklaşık 14 güne kadar) gözlenebilen advers etkileri ifade eder.</w:t>
      </w:r>
    </w:p>
    <w:p w14:paraId="16243483" w14:textId="28C74F2E" w:rsidR="00B450BB" w:rsidRPr="00DB3AF1" w:rsidRDefault="00B450BB" w:rsidP="00B450BB">
      <w:pPr>
        <w:jc w:val="both"/>
        <w:rPr>
          <w:rFonts w:ascii="Times New Roman" w:hAnsi="Times New Roman" w:cs="Times New Roman"/>
        </w:rPr>
      </w:pPr>
      <w:r w:rsidRPr="00DB3AF1">
        <w:rPr>
          <w:rFonts w:ascii="Times New Roman" w:hAnsi="Times New Roman" w:cs="Times New Roman"/>
        </w:rPr>
        <w:t>Kronik toksisite, uzun süreli/tekrarlayan maruziyet sonrası gelişen advers etkiler veya uzun süre kalıcı etkiler olarak tanımlanır. Deneysel toksikolojide “kronik” kavramı sıklıkla 90 günden belirgin uzun süren veya yaşamın önemli bir bölümünü kapsayan çalışmalara karşılık gelir.</w:t>
      </w:r>
    </w:p>
    <w:tbl>
      <w:tblPr>
        <w:tblW w:w="9598"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598"/>
      </w:tblGrid>
      <w:tr w:rsidR="00B450BB" w:rsidRPr="00DB3AF1" w14:paraId="18EE9F45" w14:textId="77777777" w:rsidTr="00B450BB">
        <w:trPr>
          <w:trHeight w:val="748"/>
        </w:trPr>
        <w:tc>
          <w:tcPr>
            <w:tcW w:w="9598" w:type="dxa"/>
          </w:tcPr>
          <w:p w14:paraId="64B54395" w14:textId="3898EAC3" w:rsidR="00B450BB" w:rsidRPr="00DB3AF1" w:rsidRDefault="00B450BB" w:rsidP="00B450BB">
            <w:pPr>
              <w:ind w:left="-23"/>
              <w:jc w:val="both"/>
              <w:rPr>
                <w:rFonts w:ascii="Times New Roman" w:hAnsi="Times New Roman" w:cs="Times New Roman"/>
              </w:rPr>
            </w:pPr>
            <w:r w:rsidRPr="00DB3AF1">
              <w:rPr>
                <w:rFonts w:ascii="Times New Roman" w:hAnsi="Times New Roman" w:cs="Times New Roman"/>
              </w:rPr>
              <w:t>Ksenobiyotik maruziyeti → ADME ile vücuttaki düzey/dağılım değişir → belirli koşullarda klinik tablo oluşursa “zehirlenme” → maruziyet kısa ise “akut”, uzun/tekrarlayan ise “kronik” toksisite.</w:t>
            </w:r>
          </w:p>
        </w:tc>
      </w:tr>
    </w:tbl>
    <w:p w14:paraId="769D6A92" w14:textId="1560E260" w:rsidR="00B450BB" w:rsidRPr="00DB3AF1" w:rsidRDefault="00B450BB" w:rsidP="00B450BB">
      <w:pPr>
        <w:rPr>
          <w:rFonts w:ascii="Times New Roman" w:hAnsi="Times New Roman" w:cs="Times New Roman"/>
        </w:rPr>
      </w:pPr>
    </w:p>
    <w:p w14:paraId="67B484A2" w14:textId="0DF4AE43" w:rsidR="00B450BB" w:rsidRPr="00DB3AF1" w:rsidRDefault="00B450BB" w:rsidP="00B450BB">
      <w:pPr>
        <w:rPr>
          <w:rFonts w:ascii="Times New Roman" w:hAnsi="Times New Roman" w:cs="Times New Roman"/>
        </w:rPr>
      </w:pPr>
    </w:p>
    <w:p w14:paraId="47325387" w14:textId="74DAE76F" w:rsidR="00B450BB" w:rsidRPr="00DB3AF1" w:rsidRDefault="00B450BB" w:rsidP="00B450BB">
      <w:pPr>
        <w:rPr>
          <w:rFonts w:ascii="Times New Roman" w:hAnsi="Times New Roman" w:cs="Times New Roman"/>
        </w:rPr>
      </w:pPr>
      <w:r w:rsidRPr="00DB3AF1">
        <w:rPr>
          <w:rFonts w:ascii="Times New Roman" w:hAnsi="Times New Roman" w:cs="Times New Roman"/>
        </w:rPr>
        <w:lastRenderedPageBreak/>
        <w:t>ANALİTİK TOKSİKOLOJİ</w:t>
      </w:r>
    </w:p>
    <w:p w14:paraId="45C66F26" w14:textId="2D04239F" w:rsidR="00B450BB" w:rsidRPr="00DB3AF1" w:rsidRDefault="00B450BB" w:rsidP="00B450BB">
      <w:pPr>
        <w:jc w:val="both"/>
        <w:rPr>
          <w:rFonts w:ascii="Times New Roman" w:hAnsi="Times New Roman" w:cs="Times New Roman"/>
        </w:rPr>
      </w:pPr>
      <w:r w:rsidRPr="00DB3AF1">
        <w:rPr>
          <w:rFonts w:ascii="Times New Roman" w:hAnsi="Times New Roman" w:cs="Times New Roman"/>
        </w:rPr>
        <w:t xml:space="preserve">Analitik toksikoloji, toksikoloji biliminin temel alt dallarından biridir. Bu alan; toksik maddelerin ve metabolitlerinin biyolojik örneklerde bulunan diğer bileşenlerden ayrılması (izolasyon), saflaştırılması ve uygun analitik yöntemlerle tanımlanması ve miktarlarının belirlenmesi ile </w:t>
      </w:r>
      <w:proofErr w:type="gramStart"/>
      <w:r w:rsidRPr="00DB3AF1">
        <w:rPr>
          <w:rFonts w:ascii="Times New Roman" w:hAnsi="Times New Roman" w:cs="Times New Roman"/>
        </w:rPr>
        <w:t>ilgilenir.Toksikolojik</w:t>
      </w:r>
      <w:proofErr w:type="gramEnd"/>
      <w:r w:rsidRPr="00DB3AF1">
        <w:rPr>
          <w:rFonts w:ascii="Times New Roman" w:hAnsi="Times New Roman" w:cs="Times New Roman"/>
        </w:rPr>
        <w:t xml:space="preserve"> analizler, zehirlenmeden şüphe edilen durumlarda tanının doğrulanması, maruziyetin belirlenmesi ve toksik maddenin vücuttaki düzeyinin saptanması amacıyla </w:t>
      </w:r>
      <w:proofErr w:type="gramStart"/>
      <w:r w:rsidRPr="00DB3AF1">
        <w:rPr>
          <w:rFonts w:ascii="Times New Roman" w:hAnsi="Times New Roman" w:cs="Times New Roman"/>
        </w:rPr>
        <w:t>uygulanır.Bu</w:t>
      </w:r>
      <w:proofErr w:type="gramEnd"/>
      <w:r w:rsidRPr="00DB3AF1">
        <w:rPr>
          <w:rFonts w:ascii="Times New Roman" w:hAnsi="Times New Roman" w:cs="Times New Roman"/>
        </w:rPr>
        <w:t xml:space="preserve"> anlamda analitik toksikolij</w:t>
      </w:r>
      <w:r w:rsidR="00DB3AF1" w:rsidRPr="00DB3AF1">
        <w:rPr>
          <w:rFonts w:ascii="Times New Roman" w:hAnsi="Times New Roman" w:cs="Times New Roman"/>
        </w:rPr>
        <w:t xml:space="preserve">i zehirlenme vakalarında kritik katkılarda </w:t>
      </w:r>
      <w:proofErr w:type="gramStart"/>
      <w:r w:rsidR="00DB3AF1" w:rsidRPr="00DB3AF1">
        <w:rPr>
          <w:rFonts w:ascii="Times New Roman" w:hAnsi="Times New Roman" w:cs="Times New Roman"/>
        </w:rPr>
        <w:t>bulunur ;</w:t>
      </w:r>
      <w:proofErr w:type="gramEnd"/>
    </w:p>
    <w:p w14:paraId="1160DA19" w14:textId="662D1BB9" w:rsidR="00B450BB" w:rsidRPr="00DB3AF1" w:rsidRDefault="00DB3AF1" w:rsidP="00DB3AF1">
      <w:pPr>
        <w:pStyle w:val="ListeParagraf"/>
        <w:numPr>
          <w:ilvl w:val="0"/>
          <w:numId w:val="1"/>
        </w:numPr>
        <w:jc w:val="both"/>
        <w:rPr>
          <w:rFonts w:ascii="Times New Roman" w:hAnsi="Times New Roman" w:cs="Times New Roman"/>
        </w:rPr>
      </w:pPr>
      <w:r w:rsidRPr="00DB3AF1">
        <w:rPr>
          <w:rFonts w:ascii="Times New Roman" w:hAnsi="Times New Roman" w:cs="Times New Roman"/>
        </w:rPr>
        <w:t>Etkenin tanımlanması (identifikasyon): Klinik bulgular tek başına çoğu zaman özgül değildir. Sistematik toksikolojik analiz veya hedefe yönelik testlerle hangi ksenobiyotiğin sorumlu olduğu saptanır.</w:t>
      </w:r>
    </w:p>
    <w:p w14:paraId="180A8215" w14:textId="2175DEED" w:rsidR="00DB3AF1" w:rsidRPr="00DB3AF1" w:rsidRDefault="00DB3AF1" w:rsidP="00DB3AF1">
      <w:pPr>
        <w:pStyle w:val="ListeParagraf"/>
        <w:numPr>
          <w:ilvl w:val="0"/>
          <w:numId w:val="1"/>
        </w:numPr>
        <w:jc w:val="both"/>
        <w:rPr>
          <w:rFonts w:ascii="Times New Roman" w:hAnsi="Times New Roman" w:cs="Times New Roman"/>
        </w:rPr>
      </w:pPr>
      <w:r w:rsidRPr="00DB3AF1">
        <w:rPr>
          <w:rFonts w:ascii="Times New Roman" w:hAnsi="Times New Roman" w:cs="Times New Roman"/>
        </w:rPr>
        <w:t>Tanının doğrulanması ve ayırıcı tanı: Özellikle öykünün belirsiz olduğu, çoklu madde alımı şüphesinin bulunduğu veya bilinç kapalı hastalarda, laboratuvar doğrulaması tanıyı “kanıt” düzeyine taşır.</w:t>
      </w:r>
    </w:p>
    <w:p w14:paraId="112AF79A" w14:textId="4C3C97FF" w:rsidR="00DB3AF1" w:rsidRPr="00DB3AF1" w:rsidRDefault="00DB3AF1" w:rsidP="00DB3AF1">
      <w:pPr>
        <w:pStyle w:val="ListeParagraf"/>
        <w:numPr>
          <w:ilvl w:val="0"/>
          <w:numId w:val="1"/>
        </w:numPr>
        <w:jc w:val="both"/>
        <w:rPr>
          <w:rFonts w:ascii="Times New Roman" w:hAnsi="Times New Roman" w:cs="Times New Roman"/>
        </w:rPr>
      </w:pPr>
      <w:r w:rsidRPr="00DB3AF1">
        <w:rPr>
          <w:rFonts w:ascii="Times New Roman" w:hAnsi="Times New Roman" w:cs="Times New Roman"/>
        </w:rPr>
        <w:t>Nicel ölçümle klinik yönetim: Bazı toksikanlarda (örn. parasetamol, salisilat, lityum vb.) kandaki düzey, antidot/endikasyon, hemodiyaliz kararı ve izlem sıklığını doğrudan etkiler. Bu nedenle tarama testleri pozitif olsa bile, uygun durumda kantitatif doğrulama gereklidir</w:t>
      </w:r>
    </w:p>
    <w:p w14:paraId="4F9E0A10" w14:textId="5FDD5AF2" w:rsidR="00DB3AF1" w:rsidRPr="00DB3AF1" w:rsidRDefault="00DB3AF1" w:rsidP="00DB3AF1">
      <w:pPr>
        <w:pStyle w:val="ListeParagraf"/>
        <w:numPr>
          <w:ilvl w:val="0"/>
          <w:numId w:val="1"/>
        </w:numPr>
        <w:jc w:val="both"/>
        <w:rPr>
          <w:rFonts w:ascii="Times New Roman" w:hAnsi="Times New Roman" w:cs="Times New Roman"/>
        </w:rPr>
      </w:pPr>
      <w:r w:rsidRPr="00DB3AF1">
        <w:rPr>
          <w:rFonts w:ascii="Times New Roman" w:hAnsi="Times New Roman" w:cs="Times New Roman"/>
        </w:rPr>
        <w:t>Prognoz ve risk değerlendirmesi: Konsantrasyon–zaman verileri, toksikokinetik yorum ve organ hasarı riski açısından klinisyene yol gösterir.</w:t>
      </w:r>
    </w:p>
    <w:p w14:paraId="1E3C1D63" w14:textId="64D93639" w:rsidR="00DB3AF1" w:rsidRPr="00DB3AF1" w:rsidRDefault="00DB3AF1" w:rsidP="00DB3AF1">
      <w:pPr>
        <w:pStyle w:val="ListeParagraf"/>
        <w:numPr>
          <w:ilvl w:val="0"/>
          <w:numId w:val="1"/>
        </w:numPr>
        <w:jc w:val="both"/>
        <w:rPr>
          <w:rFonts w:ascii="Times New Roman" w:hAnsi="Times New Roman" w:cs="Times New Roman"/>
        </w:rPr>
      </w:pPr>
      <w:r w:rsidRPr="00DB3AF1">
        <w:rPr>
          <w:rFonts w:ascii="Times New Roman" w:hAnsi="Times New Roman" w:cs="Times New Roman"/>
        </w:rPr>
        <w:t>Zehirlenme kaynağının izlenmesi (kaynak tespiti): Kanda/id­rarda ana bileşik–metabolit profili; maruziyet yolunu (oral/inhale), zamanlamayı (akut/kronik), hatta bazı durumlarda çevresel/mesleki kaynak olasılığını destekleyebilir (örnek türü seçimi + doğru örnek hazırlama + uygun cihaz).</w:t>
      </w:r>
    </w:p>
    <w:p w14:paraId="773F02F7" w14:textId="15DE966F" w:rsidR="00DB3AF1" w:rsidRPr="00DB3AF1" w:rsidRDefault="00DB3AF1" w:rsidP="00DB3AF1">
      <w:pPr>
        <w:pStyle w:val="ListeParagraf"/>
        <w:numPr>
          <w:ilvl w:val="0"/>
          <w:numId w:val="1"/>
        </w:numPr>
        <w:jc w:val="both"/>
        <w:rPr>
          <w:rFonts w:ascii="Times New Roman" w:hAnsi="Times New Roman" w:cs="Times New Roman"/>
        </w:rPr>
      </w:pPr>
      <w:r w:rsidRPr="00DB3AF1">
        <w:rPr>
          <w:rFonts w:ascii="Times New Roman" w:hAnsi="Times New Roman" w:cs="Times New Roman"/>
        </w:rPr>
        <w:t>Adli ve hukuki değer: Zincirleme örnekleme, doğrulanmış analitik sonuçlar ve raporlama; intoksikasyonun adli boyutunda (kaza/özkıyım/istismar) kanıt niteliği taşır.</w:t>
      </w:r>
    </w:p>
    <w:p w14:paraId="4172F79E" w14:textId="6048AFA3" w:rsidR="00DB3AF1" w:rsidRPr="00DB3AF1" w:rsidRDefault="00DB3AF1" w:rsidP="00DB3AF1">
      <w:pPr>
        <w:jc w:val="both"/>
        <w:rPr>
          <w:rFonts w:ascii="Times New Roman" w:hAnsi="Times New Roman" w:cs="Times New Roman"/>
        </w:rPr>
      </w:pPr>
      <w:r w:rsidRPr="00DB3AF1">
        <w:rPr>
          <w:rFonts w:ascii="Times New Roman" w:hAnsi="Times New Roman" w:cs="Times New Roman"/>
        </w:rPr>
        <w:t>Analitik Toksikolojinin Uygulama Alanları</w:t>
      </w:r>
    </w:p>
    <w:p w14:paraId="7B1C359B" w14:textId="622C91B6" w:rsidR="00DB3AF1" w:rsidRPr="00DB3AF1" w:rsidRDefault="00DB3AF1" w:rsidP="00DB3AF1">
      <w:pPr>
        <w:pStyle w:val="ListeParagraf"/>
        <w:numPr>
          <w:ilvl w:val="0"/>
          <w:numId w:val="2"/>
        </w:numPr>
        <w:jc w:val="both"/>
        <w:rPr>
          <w:rFonts w:ascii="Times New Roman" w:hAnsi="Times New Roman" w:cs="Times New Roman"/>
        </w:rPr>
      </w:pPr>
      <w:r w:rsidRPr="00DB3AF1">
        <w:rPr>
          <w:rFonts w:ascii="Times New Roman" w:hAnsi="Times New Roman" w:cs="Times New Roman"/>
        </w:rPr>
        <w:t>Klinik toksikoloji: Zehirlenme tanısı ve tedavi takibi</w:t>
      </w:r>
    </w:p>
    <w:p w14:paraId="04417885" w14:textId="0F45EE18" w:rsidR="00DB3AF1" w:rsidRPr="00DB3AF1" w:rsidRDefault="00DB3AF1" w:rsidP="00DB3AF1">
      <w:pPr>
        <w:pStyle w:val="ListeParagraf"/>
        <w:numPr>
          <w:ilvl w:val="0"/>
          <w:numId w:val="2"/>
        </w:numPr>
        <w:jc w:val="both"/>
        <w:rPr>
          <w:rFonts w:ascii="Times New Roman" w:hAnsi="Times New Roman" w:cs="Times New Roman"/>
        </w:rPr>
      </w:pPr>
      <w:r w:rsidRPr="00DB3AF1">
        <w:rPr>
          <w:rFonts w:ascii="Times New Roman" w:hAnsi="Times New Roman" w:cs="Times New Roman"/>
        </w:rPr>
        <w:t>Adli toksikoloji: Ölüm nedeni araştırmaları, madde kötüye kullanımı</w:t>
      </w:r>
    </w:p>
    <w:p w14:paraId="5EB92782" w14:textId="1560DA40" w:rsidR="00DB3AF1" w:rsidRPr="00DB3AF1" w:rsidRDefault="00DB3AF1" w:rsidP="00DB3AF1">
      <w:pPr>
        <w:pStyle w:val="ListeParagraf"/>
        <w:numPr>
          <w:ilvl w:val="0"/>
          <w:numId w:val="2"/>
        </w:numPr>
        <w:jc w:val="both"/>
        <w:rPr>
          <w:rFonts w:ascii="Times New Roman" w:hAnsi="Times New Roman" w:cs="Times New Roman"/>
        </w:rPr>
      </w:pPr>
      <w:r w:rsidRPr="00DB3AF1">
        <w:rPr>
          <w:rFonts w:ascii="Times New Roman" w:hAnsi="Times New Roman" w:cs="Times New Roman"/>
        </w:rPr>
        <w:t>Çevresel toksikoloji: Çevresel maruziyetlerin değerlendirilmesi</w:t>
      </w:r>
    </w:p>
    <w:p w14:paraId="5564E5DE" w14:textId="0DC948EB" w:rsidR="00DB3AF1" w:rsidRPr="00DB3AF1" w:rsidRDefault="00DB3AF1" w:rsidP="00DB3AF1">
      <w:pPr>
        <w:pStyle w:val="ListeParagraf"/>
        <w:numPr>
          <w:ilvl w:val="0"/>
          <w:numId w:val="2"/>
        </w:numPr>
        <w:jc w:val="both"/>
        <w:rPr>
          <w:rFonts w:ascii="Times New Roman" w:hAnsi="Times New Roman" w:cs="Times New Roman"/>
        </w:rPr>
      </w:pPr>
      <w:r w:rsidRPr="00DB3AF1">
        <w:rPr>
          <w:rFonts w:ascii="Times New Roman" w:hAnsi="Times New Roman" w:cs="Times New Roman"/>
        </w:rPr>
        <w:t>İş sağlığı ve güvenliği: Mesleki maruziyetlerin izlenmesi.</w:t>
      </w:r>
    </w:p>
    <w:p w14:paraId="3E1859C8" w14:textId="6E91C364" w:rsidR="00DB3AF1" w:rsidRPr="00DB3AF1" w:rsidRDefault="00DB3AF1" w:rsidP="00DB3AF1">
      <w:pPr>
        <w:jc w:val="both"/>
        <w:rPr>
          <w:rFonts w:ascii="Times New Roman" w:hAnsi="Times New Roman" w:cs="Times New Roman"/>
        </w:rPr>
      </w:pPr>
      <w:r w:rsidRPr="00DB3AF1">
        <w:rPr>
          <w:rFonts w:ascii="Times New Roman" w:hAnsi="Times New Roman" w:cs="Times New Roman"/>
        </w:rPr>
        <w:t>Analitik Toksikolojide Temel Aşamalar</w:t>
      </w:r>
    </w:p>
    <w:p w14:paraId="1111963C" w14:textId="19669FD0" w:rsidR="00DB3AF1" w:rsidRPr="00DB3AF1" w:rsidRDefault="00DB3AF1" w:rsidP="00DB3AF1">
      <w:pPr>
        <w:pStyle w:val="ListeParagraf"/>
        <w:numPr>
          <w:ilvl w:val="0"/>
          <w:numId w:val="3"/>
        </w:numPr>
        <w:jc w:val="both"/>
        <w:rPr>
          <w:rFonts w:ascii="Times New Roman" w:hAnsi="Times New Roman" w:cs="Times New Roman"/>
        </w:rPr>
      </w:pPr>
      <w:r w:rsidRPr="00DB3AF1">
        <w:rPr>
          <w:rFonts w:ascii="Times New Roman" w:hAnsi="Times New Roman" w:cs="Times New Roman"/>
        </w:rPr>
        <w:t xml:space="preserve">Örnek alma ve saklama </w:t>
      </w:r>
    </w:p>
    <w:p w14:paraId="171FFDA4" w14:textId="4B33395B" w:rsidR="00DB3AF1" w:rsidRPr="00DB3AF1" w:rsidRDefault="00DB3AF1" w:rsidP="00DB3AF1">
      <w:pPr>
        <w:pStyle w:val="ListeParagraf"/>
        <w:numPr>
          <w:ilvl w:val="0"/>
          <w:numId w:val="3"/>
        </w:numPr>
        <w:jc w:val="both"/>
        <w:rPr>
          <w:rFonts w:ascii="Times New Roman" w:hAnsi="Times New Roman" w:cs="Times New Roman"/>
        </w:rPr>
      </w:pPr>
      <w:r w:rsidRPr="00DB3AF1">
        <w:rPr>
          <w:rFonts w:ascii="Times New Roman" w:hAnsi="Times New Roman" w:cs="Times New Roman"/>
        </w:rPr>
        <w:t>Örnek hazırlama (protein çöktürme, sıvı-sıvı ekstraksiyon, katı faz ekstraksiyonu)</w:t>
      </w:r>
    </w:p>
    <w:p w14:paraId="41524988" w14:textId="728AC06D" w:rsidR="00DB3AF1" w:rsidRPr="00DB3AF1" w:rsidRDefault="00DB3AF1" w:rsidP="00DB3AF1">
      <w:pPr>
        <w:pStyle w:val="ListeParagraf"/>
        <w:numPr>
          <w:ilvl w:val="0"/>
          <w:numId w:val="3"/>
        </w:numPr>
        <w:jc w:val="both"/>
        <w:rPr>
          <w:rFonts w:ascii="Times New Roman" w:hAnsi="Times New Roman" w:cs="Times New Roman"/>
        </w:rPr>
      </w:pPr>
      <w:r w:rsidRPr="00DB3AF1">
        <w:rPr>
          <w:rFonts w:ascii="Times New Roman" w:hAnsi="Times New Roman" w:cs="Times New Roman"/>
        </w:rPr>
        <w:t>İzolasyon ve saflaştırma</w:t>
      </w:r>
    </w:p>
    <w:p w14:paraId="0CDBAECA" w14:textId="6A8C5D41" w:rsidR="00DB3AF1" w:rsidRPr="00DB3AF1" w:rsidRDefault="00DB3AF1" w:rsidP="00DB3AF1">
      <w:pPr>
        <w:pStyle w:val="ListeParagraf"/>
        <w:numPr>
          <w:ilvl w:val="0"/>
          <w:numId w:val="3"/>
        </w:numPr>
        <w:jc w:val="both"/>
        <w:rPr>
          <w:rFonts w:ascii="Times New Roman" w:hAnsi="Times New Roman" w:cs="Times New Roman"/>
        </w:rPr>
      </w:pPr>
      <w:r w:rsidRPr="00DB3AF1">
        <w:rPr>
          <w:rFonts w:ascii="Times New Roman" w:hAnsi="Times New Roman" w:cs="Times New Roman"/>
        </w:rPr>
        <w:t>Analitik ölçüm</w:t>
      </w:r>
    </w:p>
    <w:p w14:paraId="0276A443" w14:textId="39DF628A" w:rsidR="00DB3AF1" w:rsidRPr="00DB3AF1" w:rsidRDefault="00DB3AF1" w:rsidP="00DB3AF1">
      <w:pPr>
        <w:pStyle w:val="ListeParagraf"/>
        <w:numPr>
          <w:ilvl w:val="0"/>
          <w:numId w:val="3"/>
        </w:numPr>
        <w:jc w:val="both"/>
        <w:rPr>
          <w:rFonts w:ascii="Times New Roman" w:hAnsi="Times New Roman" w:cs="Times New Roman"/>
        </w:rPr>
      </w:pPr>
      <w:r w:rsidRPr="00DB3AF1">
        <w:rPr>
          <w:rFonts w:ascii="Times New Roman" w:hAnsi="Times New Roman" w:cs="Times New Roman"/>
        </w:rPr>
        <w:t>Sonuçların yorumlanması</w:t>
      </w:r>
    </w:p>
    <w:p w14:paraId="1644DD90" w14:textId="77777777" w:rsidR="00DB3AF1" w:rsidRDefault="00DB3AF1" w:rsidP="00DB3AF1">
      <w:pPr>
        <w:jc w:val="both"/>
        <w:rPr>
          <w:rFonts w:ascii="Times New Roman" w:hAnsi="Times New Roman" w:cs="Times New Roman"/>
        </w:rPr>
      </w:pPr>
    </w:p>
    <w:p w14:paraId="436F90B3" w14:textId="77777777" w:rsidR="000853E3" w:rsidRDefault="000853E3" w:rsidP="00DB3AF1">
      <w:pPr>
        <w:jc w:val="both"/>
        <w:rPr>
          <w:rFonts w:ascii="Times New Roman" w:hAnsi="Times New Roman" w:cs="Times New Roman"/>
        </w:rPr>
      </w:pPr>
    </w:p>
    <w:p w14:paraId="1CD3B924" w14:textId="77777777" w:rsidR="000853E3" w:rsidRDefault="000853E3" w:rsidP="00DB3AF1">
      <w:pPr>
        <w:jc w:val="both"/>
        <w:rPr>
          <w:rFonts w:ascii="Times New Roman" w:hAnsi="Times New Roman" w:cs="Times New Roman"/>
        </w:rPr>
      </w:pPr>
    </w:p>
    <w:p w14:paraId="1B29DA56" w14:textId="77777777" w:rsidR="000853E3" w:rsidRDefault="000853E3" w:rsidP="00DB3AF1">
      <w:pPr>
        <w:jc w:val="both"/>
        <w:rPr>
          <w:rFonts w:ascii="Times New Roman" w:hAnsi="Times New Roman" w:cs="Times New Roman"/>
        </w:rPr>
      </w:pPr>
    </w:p>
    <w:p w14:paraId="202FB064" w14:textId="77777777" w:rsidR="000853E3" w:rsidRDefault="000853E3" w:rsidP="00DB3AF1">
      <w:pPr>
        <w:jc w:val="both"/>
        <w:rPr>
          <w:rFonts w:ascii="Times New Roman" w:hAnsi="Times New Roman" w:cs="Times New Roman"/>
        </w:rPr>
      </w:pPr>
    </w:p>
    <w:p w14:paraId="5AC4E15F" w14:textId="77777777" w:rsidR="000853E3" w:rsidRPr="00DB3AF1" w:rsidRDefault="000853E3" w:rsidP="00DB3AF1">
      <w:pPr>
        <w:jc w:val="both"/>
        <w:rPr>
          <w:rFonts w:ascii="Times New Roman" w:hAnsi="Times New Roman" w:cs="Times New Roman"/>
        </w:rPr>
      </w:pPr>
    </w:p>
    <w:p w14:paraId="311EA02F" w14:textId="4982A677" w:rsidR="00DB3AF1" w:rsidRPr="00DB3AF1" w:rsidRDefault="00DB3AF1" w:rsidP="00DB3AF1">
      <w:pPr>
        <w:jc w:val="both"/>
        <w:rPr>
          <w:rFonts w:ascii="Times New Roman" w:hAnsi="Times New Roman" w:cs="Times New Roman"/>
        </w:rPr>
      </w:pPr>
      <w:r w:rsidRPr="000853E3">
        <w:rPr>
          <w:rFonts w:ascii="Times New Roman" w:hAnsi="Times New Roman" w:cs="Times New Roman"/>
          <w:b/>
          <w:bCs/>
        </w:rPr>
        <w:t>Analitik Toksikolojide Kullanılan Yöntemler</w:t>
      </w:r>
    </w:p>
    <w:tbl>
      <w:tblPr>
        <w:tblW w:w="0" w:type="auto"/>
        <w:tblCellSpacing w:w="15" w:type="dxa"/>
        <w:tblBorders>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2953"/>
        <w:gridCol w:w="5972"/>
      </w:tblGrid>
      <w:tr w:rsidR="00DB3AF1" w:rsidRPr="00DB3AF1" w14:paraId="12C233B3" w14:textId="77777777" w:rsidTr="00DB3AF1">
        <w:trPr>
          <w:tblHeader/>
          <w:tblCellSpacing w:w="15" w:type="dxa"/>
        </w:trPr>
        <w:tc>
          <w:tcPr>
            <w:tcW w:w="0" w:type="auto"/>
            <w:vAlign w:val="center"/>
            <w:hideMark/>
          </w:tcPr>
          <w:p w14:paraId="379B8318" w14:textId="77777777" w:rsidR="00DB3AF1" w:rsidRPr="00DB3AF1" w:rsidRDefault="00DB3AF1" w:rsidP="00DB3AF1">
            <w:pPr>
              <w:jc w:val="both"/>
              <w:rPr>
                <w:rFonts w:ascii="Times New Roman" w:hAnsi="Times New Roman" w:cs="Times New Roman"/>
                <w:b/>
                <w:bCs/>
              </w:rPr>
            </w:pPr>
            <w:r w:rsidRPr="00DB3AF1">
              <w:rPr>
                <w:rFonts w:ascii="Times New Roman" w:hAnsi="Times New Roman" w:cs="Times New Roman"/>
                <w:b/>
                <w:bCs/>
              </w:rPr>
              <w:t>Yöntem</w:t>
            </w:r>
          </w:p>
        </w:tc>
        <w:tc>
          <w:tcPr>
            <w:tcW w:w="0" w:type="auto"/>
            <w:vAlign w:val="center"/>
            <w:hideMark/>
          </w:tcPr>
          <w:p w14:paraId="6400EE48" w14:textId="77777777" w:rsidR="00DB3AF1" w:rsidRPr="00DB3AF1" w:rsidRDefault="00DB3AF1" w:rsidP="00DB3AF1">
            <w:pPr>
              <w:jc w:val="both"/>
              <w:rPr>
                <w:rFonts w:ascii="Times New Roman" w:hAnsi="Times New Roman" w:cs="Times New Roman"/>
                <w:b/>
                <w:bCs/>
              </w:rPr>
            </w:pPr>
            <w:r w:rsidRPr="00DB3AF1">
              <w:rPr>
                <w:rFonts w:ascii="Times New Roman" w:hAnsi="Times New Roman" w:cs="Times New Roman"/>
                <w:b/>
                <w:bCs/>
              </w:rPr>
              <w:t>Kullanım Alanı</w:t>
            </w:r>
          </w:p>
        </w:tc>
      </w:tr>
      <w:tr w:rsidR="00DB3AF1" w:rsidRPr="00DB3AF1" w14:paraId="24B36B22" w14:textId="77777777" w:rsidTr="00DB3AF1">
        <w:trPr>
          <w:tblCellSpacing w:w="15" w:type="dxa"/>
        </w:trPr>
        <w:tc>
          <w:tcPr>
            <w:tcW w:w="0" w:type="auto"/>
            <w:vAlign w:val="center"/>
            <w:hideMark/>
          </w:tcPr>
          <w:p w14:paraId="3F4610F3"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GC (Gaz Kromatografisi)</w:t>
            </w:r>
          </w:p>
        </w:tc>
        <w:tc>
          <w:tcPr>
            <w:tcW w:w="0" w:type="auto"/>
            <w:vAlign w:val="center"/>
            <w:hideMark/>
          </w:tcPr>
          <w:p w14:paraId="7E051995"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Uçucu ve yarı uçucu toksik maddeler</w:t>
            </w:r>
          </w:p>
        </w:tc>
      </w:tr>
      <w:tr w:rsidR="00DB3AF1" w:rsidRPr="00DB3AF1" w14:paraId="4275A104" w14:textId="77777777" w:rsidTr="00DB3AF1">
        <w:trPr>
          <w:tblCellSpacing w:w="15" w:type="dxa"/>
        </w:trPr>
        <w:tc>
          <w:tcPr>
            <w:tcW w:w="0" w:type="auto"/>
            <w:vAlign w:val="center"/>
            <w:hideMark/>
          </w:tcPr>
          <w:p w14:paraId="1221B086"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GC-MS</w:t>
            </w:r>
          </w:p>
        </w:tc>
        <w:tc>
          <w:tcPr>
            <w:tcW w:w="0" w:type="auto"/>
            <w:vAlign w:val="center"/>
            <w:hideMark/>
          </w:tcPr>
          <w:p w14:paraId="317DCEDC"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Yüksek özgüllükle madde tanımlama</w:t>
            </w:r>
          </w:p>
        </w:tc>
      </w:tr>
      <w:tr w:rsidR="00DB3AF1" w:rsidRPr="00DB3AF1" w14:paraId="4E6EA829" w14:textId="77777777" w:rsidTr="00DB3AF1">
        <w:trPr>
          <w:tblCellSpacing w:w="15" w:type="dxa"/>
        </w:trPr>
        <w:tc>
          <w:tcPr>
            <w:tcW w:w="0" w:type="auto"/>
            <w:vAlign w:val="center"/>
            <w:hideMark/>
          </w:tcPr>
          <w:p w14:paraId="35AF0127"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HPLC</w:t>
            </w:r>
          </w:p>
        </w:tc>
        <w:tc>
          <w:tcPr>
            <w:tcW w:w="0" w:type="auto"/>
            <w:vAlign w:val="center"/>
            <w:hideMark/>
          </w:tcPr>
          <w:p w14:paraId="15CC01D3"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Termal olarak kararsız bileşikler</w:t>
            </w:r>
          </w:p>
        </w:tc>
      </w:tr>
      <w:tr w:rsidR="00DB3AF1" w:rsidRPr="00DB3AF1" w14:paraId="08A24C64" w14:textId="77777777" w:rsidTr="00DB3AF1">
        <w:trPr>
          <w:tblCellSpacing w:w="15" w:type="dxa"/>
        </w:trPr>
        <w:tc>
          <w:tcPr>
            <w:tcW w:w="0" w:type="auto"/>
            <w:vAlign w:val="center"/>
            <w:hideMark/>
          </w:tcPr>
          <w:p w14:paraId="063602B1"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LC-MS/MS</w:t>
            </w:r>
          </w:p>
        </w:tc>
        <w:tc>
          <w:tcPr>
            <w:tcW w:w="0" w:type="auto"/>
            <w:vAlign w:val="center"/>
            <w:hideMark/>
          </w:tcPr>
          <w:p w14:paraId="6111F2F3"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Düşük konsantrasyonlarda toksik madde ve metabolit analizi</w:t>
            </w:r>
          </w:p>
        </w:tc>
      </w:tr>
      <w:tr w:rsidR="00DB3AF1" w:rsidRPr="00DB3AF1" w14:paraId="5488241A" w14:textId="77777777" w:rsidTr="00DB3AF1">
        <w:trPr>
          <w:tblCellSpacing w:w="15" w:type="dxa"/>
        </w:trPr>
        <w:tc>
          <w:tcPr>
            <w:tcW w:w="0" w:type="auto"/>
            <w:vAlign w:val="center"/>
            <w:hideMark/>
          </w:tcPr>
          <w:p w14:paraId="55595252"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UV-Vis Spektrofotometri</w:t>
            </w:r>
          </w:p>
        </w:tc>
        <w:tc>
          <w:tcPr>
            <w:tcW w:w="0" w:type="auto"/>
            <w:vAlign w:val="center"/>
            <w:hideMark/>
          </w:tcPr>
          <w:p w14:paraId="5EB80441"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Ön tarama ve basit analizler</w:t>
            </w:r>
          </w:p>
        </w:tc>
      </w:tr>
      <w:tr w:rsidR="00DB3AF1" w:rsidRPr="00DB3AF1" w14:paraId="63772793" w14:textId="77777777" w:rsidTr="00DB3AF1">
        <w:trPr>
          <w:tblCellSpacing w:w="15" w:type="dxa"/>
        </w:trPr>
        <w:tc>
          <w:tcPr>
            <w:tcW w:w="0" w:type="auto"/>
            <w:vAlign w:val="center"/>
            <w:hideMark/>
          </w:tcPr>
          <w:p w14:paraId="05DDE845"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İmmünoassayler (ELISA vb.)</w:t>
            </w:r>
          </w:p>
        </w:tc>
        <w:tc>
          <w:tcPr>
            <w:tcW w:w="0" w:type="auto"/>
            <w:vAlign w:val="center"/>
            <w:hideMark/>
          </w:tcPr>
          <w:p w14:paraId="2D2444FB" w14:textId="77777777" w:rsidR="00DB3AF1" w:rsidRPr="00DB3AF1" w:rsidRDefault="00DB3AF1" w:rsidP="00DB3AF1">
            <w:pPr>
              <w:jc w:val="both"/>
              <w:rPr>
                <w:rFonts w:ascii="Times New Roman" w:hAnsi="Times New Roman" w:cs="Times New Roman"/>
              </w:rPr>
            </w:pPr>
            <w:r w:rsidRPr="00DB3AF1">
              <w:rPr>
                <w:rFonts w:ascii="Times New Roman" w:hAnsi="Times New Roman" w:cs="Times New Roman"/>
              </w:rPr>
              <w:t xml:space="preserve"> Hızlı tarama testleri</w:t>
            </w:r>
          </w:p>
        </w:tc>
      </w:tr>
    </w:tbl>
    <w:p w14:paraId="143E0462" w14:textId="77777777" w:rsidR="00DB3AF1" w:rsidRDefault="00DB3AF1" w:rsidP="00DB3AF1">
      <w:pPr>
        <w:jc w:val="both"/>
        <w:rPr>
          <w:rFonts w:ascii="Times New Roman" w:hAnsi="Times New Roman" w:cs="Times New Roman"/>
        </w:rPr>
      </w:pPr>
    </w:p>
    <w:p w14:paraId="6BFDA6C4" w14:textId="111B6EF1" w:rsidR="00DB3AF1" w:rsidRDefault="00DB3AF1" w:rsidP="00DB3AF1">
      <w:pPr>
        <w:jc w:val="both"/>
        <w:rPr>
          <w:rFonts w:ascii="Times New Roman" w:hAnsi="Times New Roman" w:cs="Times New Roman"/>
          <w:b/>
          <w:bCs/>
        </w:rPr>
      </w:pPr>
      <w:r w:rsidRPr="00DB3AF1">
        <w:rPr>
          <w:rFonts w:ascii="Times New Roman" w:hAnsi="Times New Roman" w:cs="Times New Roman"/>
        </w:rPr>
        <w:t>T</w:t>
      </w:r>
      <w:r w:rsidRPr="00DB3AF1">
        <w:rPr>
          <w:rFonts w:ascii="Times New Roman" w:hAnsi="Times New Roman" w:cs="Times New Roman"/>
          <w:b/>
          <w:bCs/>
        </w:rPr>
        <w:t>oksikolojik Açıdan Önemli Ksenobiyotiklerin Biyolojik Örneklerde Belirlenmesi</w:t>
      </w:r>
    </w:p>
    <w:p w14:paraId="7EDC4331" w14:textId="39B76C9D" w:rsidR="00DB3AF1" w:rsidRDefault="00AE45A9" w:rsidP="00DB3AF1">
      <w:pPr>
        <w:jc w:val="both"/>
        <w:rPr>
          <w:rFonts w:ascii="Times New Roman" w:hAnsi="Times New Roman" w:cs="Times New Roman"/>
        </w:rPr>
      </w:pPr>
      <w:r w:rsidRPr="00AE45A9">
        <w:rPr>
          <w:rFonts w:ascii="Times New Roman" w:hAnsi="Times New Roman" w:cs="Times New Roman"/>
        </w:rPr>
        <w:t>Bir ksenobiyotiğe maruziyet sonrası gelişen zehirlenme olgularında, zehirlenmenin nedenini ortaya koyabilmek için kalitatif (nitel) ve/veya kantitatif (nicel) analizlerin yapılması gerekir. Bu nedenle, zehirlenme etkeninin doğru biçimde saptanması ve uygun tedavi yaklaşımının planlanabilmesi açısından; hastadan alınacak biyolojik örnek türü, analiz öncesinde örneğe uygulanacak hazırlama işlemleri ve hedefe en uygun analiz yönteminin seçimi kritik öneme sahiptir.</w:t>
      </w:r>
    </w:p>
    <w:p w14:paraId="134DEFFB" w14:textId="77777777" w:rsidR="00AE45A9" w:rsidRPr="000853E3" w:rsidRDefault="00AE45A9" w:rsidP="00AE45A9">
      <w:pPr>
        <w:jc w:val="both"/>
        <w:rPr>
          <w:rFonts w:ascii="Times New Roman" w:hAnsi="Times New Roman" w:cs="Times New Roman"/>
          <w:b/>
          <w:bCs/>
        </w:rPr>
      </w:pPr>
      <w:r w:rsidRPr="000853E3">
        <w:rPr>
          <w:rFonts w:ascii="Times New Roman" w:hAnsi="Times New Roman" w:cs="Times New Roman"/>
          <w:b/>
          <w:bCs/>
        </w:rPr>
        <w:t>Uygun Biyolojik Örneğin Seçilmesi</w:t>
      </w:r>
    </w:p>
    <w:p w14:paraId="788BE992" w14:textId="4E06EED9" w:rsidR="00AE45A9" w:rsidRPr="00AE45A9" w:rsidRDefault="00AE45A9" w:rsidP="00AE45A9">
      <w:pPr>
        <w:jc w:val="both"/>
        <w:rPr>
          <w:rFonts w:ascii="Times New Roman" w:hAnsi="Times New Roman" w:cs="Times New Roman"/>
        </w:rPr>
      </w:pPr>
      <w:r w:rsidRPr="00AE45A9">
        <w:rPr>
          <w:rFonts w:ascii="Times New Roman" w:hAnsi="Times New Roman" w:cs="Times New Roman"/>
        </w:rPr>
        <w:t>Zehirler genellikle vücutta homojen dağılmadığı için toksikolojik analizlerde uygun biyolojik materyalin seçilmesi gereklidir. Kimyasal yapılarına ve metabolizmalarına bağlı olarak bazı toksik maddeler belirli dokularda yoğunlaşıp birikebilir. Örneğin kurşun (Pb) çoğunlukla kemikte, arsenik (As) ise saç ve tırnakta birikme eğilimindedir. Buna karşılık etil alkol gibi bazı maddeler vücut sıvılarına daha eşit dağılım gösterebilir. Bazı durumlarda ise doğrudan toksik maddenin kendisini saptamak yerine, vücutta daha yüksek düzeyde bulunabilen ve analitik olarak daha uygun olabilen metabolitlerin araştırılması gerekebilir. Bu nedenle doğru örnek seçimi için aranılan maddenin fiziksel-kimyasal özelliklerinin yanı sıra absorpsiyon–dağılım–metabolizma–atılım (ADME) özelliklerinin iyi bilinmesi yol göstericidir. Eğer araştırılan toksik maddeye ilişkin bilgi yoksa ya da yetersizse, analiz amacıyla farklı biyolojik materyallerden yeterli miktarda örnek alınmalıdır.</w:t>
      </w:r>
      <w:r w:rsidR="004C3DC3">
        <w:rPr>
          <w:rFonts w:ascii="Times New Roman" w:hAnsi="Times New Roman" w:cs="Times New Roman"/>
        </w:rPr>
        <w:t xml:space="preserve"> </w:t>
      </w:r>
      <w:r w:rsidRPr="00AE45A9">
        <w:rPr>
          <w:rFonts w:ascii="Times New Roman" w:hAnsi="Times New Roman" w:cs="Times New Roman"/>
        </w:rPr>
        <w:t xml:space="preserve">Zehirlenme olgularında hasta yaşıyorsa, analiz için </w:t>
      </w:r>
      <w:r w:rsidRPr="00AE45A9">
        <w:rPr>
          <w:rFonts w:ascii="Times New Roman" w:hAnsi="Times New Roman" w:cs="Times New Roman"/>
        </w:rPr>
        <w:lastRenderedPageBreak/>
        <w:t xml:space="preserve">çoğunlukla kan, idrar, mide içeriği veya mide yıkama sıvısı tercih edilir. Bunun yanında tükürük, feçes, safra, gözyaşı, saç, tırnak, beyin-omurilik sıvısı (BOS), anne sütü ve solunumla atılan hava gibi diğer biyolojik örnekler de kullanılabilir. Olay ölümle sonuçlandıysa, otopsi sırasında çeşitli organ ve dokulardan örnek alınması mümkündür. Ayrıca zehirlenmenin gerçekleştiği ortamda toksik madde ile temas etmiş olabileceği düşünülen yemek kapları, su bardakları, mesleki maruziyetlerde ortam havası gibi nesne ve çevresel örnekler de incelemeye dahil </w:t>
      </w:r>
      <w:proofErr w:type="gramStart"/>
      <w:r w:rsidRPr="00AE45A9">
        <w:rPr>
          <w:rFonts w:ascii="Times New Roman" w:hAnsi="Times New Roman" w:cs="Times New Roman"/>
        </w:rPr>
        <w:t>edilebilir.Zehirlenme</w:t>
      </w:r>
      <w:proofErr w:type="gramEnd"/>
      <w:r w:rsidRPr="00AE45A9">
        <w:rPr>
          <w:rFonts w:ascii="Times New Roman" w:hAnsi="Times New Roman" w:cs="Times New Roman"/>
        </w:rPr>
        <w:t xml:space="preserve"> etkeninin belirlenmesinde rutin olarak en sık idrar, kusmuk, mide yıkama suyu ve kan örnekleri kullanılır.</w:t>
      </w:r>
    </w:p>
    <w:p w14:paraId="2A8C77EF"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Mide içeriği (kusmuk, aspirat, mide yıkama suyunun ilk kısmı): Rutin analizler için yaklaşık 50 mL örnek genellikle yeterlidir. Parçalanmamış tablet veya kapsüller açısından ön değerlendirme yapıldıktan sonra, örnekte katı materyal bulunuyorsa santrifüj ile ayrılır; katı kısım ileri incelemeler için saklanır ve analizler çoğunlukla üst faz üzerinden yürütülür.</w:t>
      </w:r>
    </w:p>
    <w:p w14:paraId="69E1C2E5"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İdrar: Testlerle etkileşme olasılığını azaltmak amacıyla, hastaya tedavi kapsamında herhangi bir ilaç verilmeden önce alınan ilk 50 mL idrar örneği tercih edilir ve analizler bu örnek üzerinden gerçekleştirilir.</w:t>
      </w:r>
    </w:p>
    <w:p w14:paraId="667D7B07" w14:textId="14FEB871" w:rsidR="00AE45A9" w:rsidRDefault="00AE45A9" w:rsidP="00AE45A9">
      <w:pPr>
        <w:jc w:val="both"/>
        <w:rPr>
          <w:rFonts w:ascii="Times New Roman" w:hAnsi="Times New Roman" w:cs="Times New Roman"/>
        </w:rPr>
      </w:pPr>
      <w:r w:rsidRPr="00AE45A9">
        <w:rPr>
          <w:rFonts w:ascii="Times New Roman" w:hAnsi="Times New Roman" w:cs="Times New Roman"/>
        </w:rPr>
        <w:t>Kan: Genellikle 10 mL heparinli kan, etanol analizi için 2 mL florürlü kan ve 10 mL antikoagülansız kan alınır. Heparin preparatlarında krezol, klorbutanol gibi fenolik koruyucular bulunabileceğinden ve bazı tamponlar alkol içerebileceğinden, bu tür içeriklere sahip heparinlerin ve alkol içeren tamponların kullanımından kaçınılmalıdır.</w:t>
      </w:r>
    </w:p>
    <w:p w14:paraId="102F16BB"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Diğer materyaller: Zehirlenmenin gerçekleştiği ortamda bulunan tablet, toz, sıvı örnekleri, şişe, şırınga gibi materyaller, gerektiğinde yapılacak ek incelemeler için muhafaza edilmelidir.</w:t>
      </w:r>
    </w:p>
    <w:p w14:paraId="7987B11D"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Ölümle sonuçlanan olgular: Otopsi sırasında kokuşma başlamışsa ve etanol veya glukoz gibi analizler gerekli görülüyorsa, daha güvenilir değerlendirme için serebrospinal sıvı ve gözden aköz hümör örneklerinin alınması önerilir.</w:t>
      </w:r>
    </w:p>
    <w:p w14:paraId="65A293AE" w14:textId="77777777" w:rsidR="00AE45A9" w:rsidRPr="004C3DC3" w:rsidRDefault="00AE45A9" w:rsidP="00AE45A9">
      <w:pPr>
        <w:jc w:val="both"/>
        <w:rPr>
          <w:rFonts w:ascii="Times New Roman" w:hAnsi="Times New Roman" w:cs="Times New Roman"/>
          <w:b/>
          <w:bCs/>
        </w:rPr>
      </w:pPr>
      <w:r w:rsidRPr="004C3DC3">
        <w:rPr>
          <w:rFonts w:ascii="Times New Roman" w:hAnsi="Times New Roman" w:cs="Times New Roman"/>
          <w:b/>
          <w:bCs/>
        </w:rPr>
        <w:t>İdrarda Yapılan Temel Testler</w:t>
      </w:r>
    </w:p>
    <w:p w14:paraId="290854A7"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 xml:space="preserve">Glukoz ve keton: İdrarda glukoz ve keton varlığı, çeşitli kitler ve strip testler kullanılarak kısa sürede değerlendirilebilir. Keton pozitifliği, bazı olgularda izopropanol veya aseton maruziyetini düşündürebilir. Ayrıca ketozis, özellikle küçük çocuklarda salisilat (aspirin) zehirlenmelerinde sık görülebilen bir bulgudur. Bununla birlikte, açlık durumunda ya da diyabetik ketoasidoz/ketozis varlığında da bu testler pozitif sonuç verebileceğinden, bulgular klinik tablo </w:t>
      </w:r>
      <w:proofErr w:type="gramStart"/>
      <w:r w:rsidRPr="00AE45A9">
        <w:rPr>
          <w:rFonts w:ascii="Times New Roman" w:hAnsi="Times New Roman" w:cs="Times New Roman"/>
        </w:rPr>
        <w:t>ile birlikte</w:t>
      </w:r>
      <w:proofErr w:type="gramEnd"/>
      <w:r w:rsidRPr="00AE45A9">
        <w:rPr>
          <w:rFonts w:ascii="Times New Roman" w:hAnsi="Times New Roman" w:cs="Times New Roman"/>
        </w:rPr>
        <w:t xml:space="preserve"> yorumlanmalıdır.</w:t>
      </w:r>
    </w:p>
    <w:p w14:paraId="3FA4475C"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İdrar testleri ile aspirin/salisilatlar, parasetamol, etanol ve diğer uçucu maddeler, fenotiyazinler, imipramin, desipramin, trikloro bileşikleri ve parakuat gibi bazı bileşikler taranabilir. Ancak bu tür olgularda tanının kesinleştirilmesi için, özellikle kanda yapılacak nicel (kantitatif) analizlerle doğrulama yapılması gereklidir.</w:t>
      </w:r>
    </w:p>
    <w:p w14:paraId="1C527335" w14:textId="77777777" w:rsidR="00AE45A9" w:rsidRPr="004C3DC3" w:rsidRDefault="00AE45A9" w:rsidP="00AE45A9">
      <w:pPr>
        <w:jc w:val="both"/>
        <w:rPr>
          <w:rFonts w:ascii="Times New Roman" w:hAnsi="Times New Roman" w:cs="Times New Roman"/>
          <w:b/>
          <w:bCs/>
        </w:rPr>
      </w:pPr>
      <w:r w:rsidRPr="004C3DC3">
        <w:rPr>
          <w:rFonts w:ascii="Times New Roman" w:hAnsi="Times New Roman" w:cs="Times New Roman"/>
          <w:b/>
          <w:bCs/>
        </w:rPr>
        <w:t>Mide İçeriği ile Yapılan Testler</w:t>
      </w:r>
    </w:p>
    <w:p w14:paraId="221A897A"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 xml:space="preserve">Mide içeriğinin kokusu, rengi, genel görünümü ve pH değeri, zehirlenme etkenine ilişkin erken dönemde önemli ipuçları sağlayabilir. Özellikle fenolik dezenfektanlar, kafur, metil salisilat, </w:t>
      </w:r>
      <w:r w:rsidRPr="00AE45A9">
        <w:rPr>
          <w:rFonts w:ascii="Times New Roman" w:hAnsi="Times New Roman" w:cs="Times New Roman"/>
        </w:rPr>
        <w:lastRenderedPageBreak/>
        <w:t>siyanür, etanol ve diğer organik çözücüler, kendilerine özgü karakteristik kokuları sayesinde ön değerlendirmede ayırt edilebilir.</w:t>
      </w:r>
    </w:p>
    <w:p w14:paraId="6F18E343"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Mide içeriğinde (kusmuk veya mide yıkama sıvısında) çözünmemiş tablet ya da kapsül kalıntıları bulunabilir. İçeriğin yeşil veya mavi renkte olması, demir tuzlarının varlığını düşündürebilir. Ayrıca pH’nın yüksek bulunması, alkali özellikte bir toksik maddenin varlığına işaret edebilir.</w:t>
      </w:r>
    </w:p>
    <w:p w14:paraId="28D3684B"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Mide içeriğine uygulanan testlerle salisilatlar, fenotiyazinler, imipramin, desipramin, trikloro bileşikleri, Fe²⁺/Fe³⁺ iyonları, arsenik, antimon, bizmut, cıva, siyanür ve çeşitli oksitleyici ajanlar gibi birçok bileşik/toksik ajan saptanabilmektedir.</w:t>
      </w:r>
    </w:p>
    <w:p w14:paraId="5154CEE6" w14:textId="77777777" w:rsidR="00AE45A9" w:rsidRPr="00AE45A9" w:rsidRDefault="00AE45A9" w:rsidP="00AE45A9">
      <w:pPr>
        <w:jc w:val="both"/>
        <w:rPr>
          <w:rFonts w:ascii="Times New Roman" w:hAnsi="Times New Roman" w:cs="Times New Roman"/>
          <w:b/>
          <w:bCs/>
        </w:rPr>
      </w:pPr>
      <w:r w:rsidRPr="00AE45A9">
        <w:rPr>
          <w:rFonts w:ascii="Times New Roman" w:hAnsi="Times New Roman" w:cs="Times New Roman"/>
          <w:b/>
          <w:bCs/>
        </w:rPr>
        <w:t>Kanda Yapılan Testler</w:t>
      </w:r>
    </w:p>
    <w:p w14:paraId="3D923C99"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Kan örneğinin rengi, bazı zehirlenme etkenleri için ön bilgi verebilir. Örneğin vişne kırmızısı renkte kan, karbonmonoksit veya siyanür zehirlenmesini düşündürebilir. Kahverengi renk ise klorat, nitrat, nitrit ve diğer oksitleyici ajanlara bağlı gelişebilen methemoglobinemi ile ilişkili olabilir. Ancak bu bulgular yalnızca ön değerlendirme niteliğindedir ve kesin tanı için doğrulayıcı testlerin yapılması gerekir.</w:t>
      </w:r>
    </w:p>
    <w:p w14:paraId="2BD029D7" w14:textId="2E2B9AC4" w:rsidR="00AE45A9" w:rsidRDefault="00AE45A9" w:rsidP="00AE45A9">
      <w:pPr>
        <w:jc w:val="both"/>
        <w:rPr>
          <w:rFonts w:ascii="Times New Roman" w:hAnsi="Times New Roman" w:cs="Times New Roman"/>
        </w:rPr>
      </w:pPr>
      <w:r w:rsidRPr="00AE45A9">
        <w:rPr>
          <w:rFonts w:ascii="Times New Roman" w:hAnsi="Times New Roman" w:cs="Times New Roman"/>
        </w:rPr>
        <w:t>Kanda yapılan glukoz ve üre analizleri de zehirlenme etkenine dair ipuçları sağlayabilir. Glukoz testinde hipoglisemi saptanması, diyabetli hastalarda insülin veya diğer hipoglisemik ajanların yüksek doz kullanımına bağlı olabilir. Ayrıca akut etanol zehirlenmesi, özellikle küçük çocuklarda, sıklıkla hipoglisemiye yol açabilir. Hipoglisemi; küçük çocuklar ve diyabetlilerde aspirin (salisilat) zehirlenmelerinde ve parasetamol zehirlenmesini takiben gelişen karaciğer hasarının erken dönemlerinde de görülebilir.</w:t>
      </w:r>
    </w:p>
    <w:p w14:paraId="20381F79"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Kanda analizi yapılabilen başlıca önemli toksik maddeler arasında salisilatlar, etanol ve diğer uçucu maddeler, trisiklik antidepresanlar ve organofosfat bileşikleri yer alır.</w:t>
      </w:r>
    </w:p>
    <w:p w14:paraId="241C22C6" w14:textId="77777777" w:rsidR="00AE45A9" w:rsidRPr="001663F2" w:rsidRDefault="00AE45A9" w:rsidP="00AE45A9">
      <w:pPr>
        <w:jc w:val="both"/>
        <w:rPr>
          <w:rFonts w:ascii="Times New Roman" w:hAnsi="Times New Roman" w:cs="Times New Roman"/>
          <w:b/>
          <w:bCs/>
        </w:rPr>
      </w:pPr>
      <w:r w:rsidRPr="001663F2">
        <w:rPr>
          <w:rFonts w:ascii="Times New Roman" w:hAnsi="Times New Roman" w:cs="Times New Roman"/>
          <w:b/>
          <w:bCs/>
        </w:rPr>
        <w:t>Sonuçların Yorumlanması</w:t>
      </w:r>
    </w:p>
    <w:p w14:paraId="666EDA26"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İdrar örnekleri veya mide içeriğinde elde edilen pozitif nitel (kalitatif) sonuçlar mutlaka dikkatle değerlendirilmelidir. Özellikle aspirin, parasetamol ve kloralhidrat (veya diklorfenazon) alımında renk testleriyle pozitif sonuç elde edilmesi durumunda; ayrıca trisiklik antidepresanlar, benzodiazepinler ve barbitüratlar gibi maddeler İTK ile saptandığında, tanının kesinleştirilmesi için kantitatif (nicel) analizlerle doğrulama yapılması gereklidir.</w:t>
      </w:r>
    </w:p>
    <w:p w14:paraId="45B3C3F0" w14:textId="77777777" w:rsidR="00AE45A9" w:rsidRPr="00AE45A9" w:rsidRDefault="00AE45A9" w:rsidP="00AE45A9">
      <w:pPr>
        <w:jc w:val="both"/>
        <w:rPr>
          <w:rFonts w:ascii="Times New Roman" w:hAnsi="Times New Roman" w:cs="Times New Roman"/>
          <w:b/>
          <w:bCs/>
        </w:rPr>
      </w:pPr>
      <w:r w:rsidRPr="00AE45A9">
        <w:rPr>
          <w:rFonts w:ascii="Times New Roman" w:hAnsi="Times New Roman" w:cs="Times New Roman"/>
          <w:b/>
          <w:bCs/>
        </w:rPr>
        <w:t>Biyolojik Örneğin Saklama Koşulları</w:t>
      </w:r>
    </w:p>
    <w:p w14:paraId="292D033E" w14:textId="14134D42" w:rsidR="00AE45A9" w:rsidRDefault="00AE45A9" w:rsidP="00AE45A9">
      <w:pPr>
        <w:jc w:val="both"/>
        <w:rPr>
          <w:rFonts w:ascii="Times New Roman" w:hAnsi="Times New Roman" w:cs="Times New Roman"/>
        </w:rPr>
      </w:pPr>
      <w:r w:rsidRPr="00AE45A9">
        <w:rPr>
          <w:rFonts w:ascii="Times New Roman" w:hAnsi="Times New Roman" w:cs="Times New Roman"/>
        </w:rPr>
        <w:t>Biyolojik örnekler, yapılacak analizin gerekliliklerine göre; örneğin türü ve özellikleri dikkate alınarak uygun sıcaklık koşullarında saklanmalıdır (derin dondurucu, buzdolabı veya oda sıcaklığı</w:t>
      </w:r>
      <w:proofErr w:type="gramStart"/>
      <w:r w:rsidRPr="00AE45A9">
        <w:rPr>
          <w:rFonts w:ascii="Times New Roman" w:hAnsi="Times New Roman" w:cs="Times New Roman"/>
        </w:rPr>
        <w:t>).Kontaminasyonu</w:t>
      </w:r>
      <w:proofErr w:type="gramEnd"/>
      <w:r w:rsidRPr="00AE45A9">
        <w:rPr>
          <w:rFonts w:ascii="Times New Roman" w:hAnsi="Times New Roman" w:cs="Times New Roman"/>
        </w:rPr>
        <w:t xml:space="preserve"> önlemek için örneklerin alındığı ve saklandığı kap ve kapağın uygun materyalden seçilmesi önemlidir. Kan örneği alınmışsa, örnek alımında kullanılan malzemelerin steril olmasına dikkat edilmelidir. Analizin güvenilirliği açısından ayrıca doğru antikoagülan seçimi yapılmalıdır. Heparin, sitrat, oksalat ve EDTA sık kullanılan antikoagülanlardır ve seçim yapılırken analitik yöntemle olası etkileşim göz önünde bulundurulmalıdır.</w:t>
      </w:r>
    </w:p>
    <w:p w14:paraId="05463068" w14:textId="4D8C2279" w:rsidR="00AE45A9" w:rsidRDefault="00AE45A9" w:rsidP="00AE45A9">
      <w:pPr>
        <w:jc w:val="both"/>
        <w:rPr>
          <w:rFonts w:ascii="Times New Roman" w:hAnsi="Times New Roman" w:cs="Times New Roman"/>
        </w:rPr>
      </w:pPr>
      <w:r w:rsidRPr="00AE45A9">
        <w:rPr>
          <w:rFonts w:ascii="Times New Roman" w:hAnsi="Times New Roman" w:cs="Times New Roman"/>
        </w:rPr>
        <w:lastRenderedPageBreak/>
        <w:t>Analizi yapılacak ilaç veya bileşikler plazma esterazlarına duyarlı ise, örnekte bozunmayı önlemek amacıyla sodyum florür (NaF) gibi bir esteraz inhibitörünün eklenmesi gerekebilir.</w:t>
      </w:r>
      <w:r>
        <w:rPr>
          <w:rFonts w:ascii="Times New Roman" w:hAnsi="Times New Roman" w:cs="Times New Roman"/>
        </w:rPr>
        <w:t xml:space="preserve"> </w:t>
      </w:r>
      <w:r w:rsidRPr="00AE45A9">
        <w:rPr>
          <w:rFonts w:ascii="Times New Roman" w:hAnsi="Times New Roman" w:cs="Times New Roman"/>
        </w:rPr>
        <w:t xml:space="preserve">Plazma veya serum kullanılacak durumlarda, taze tam kan mümkün olan en kısa sürede santrifüj edilerek üst faz (süpernatan) temiz ve uygun bir tüpe aktarılmalı ve analize kadar uygun sıcaklıkta muhafaza edilmelidir. Santrifüjün süresi, hızı (devir/dk) ve sıcaklığı, çalışılacak maddeye bağlı olarak değişebilir. Benzer şekilde plazma/serum örneğinin 4°C, -20°C veya -80°C gibi hangi sıcaklıkta saklanacağı da analiz edilecek bileşiğin stabilitesine göre </w:t>
      </w:r>
      <w:proofErr w:type="gramStart"/>
      <w:r w:rsidRPr="00AE45A9">
        <w:rPr>
          <w:rFonts w:ascii="Times New Roman" w:hAnsi="Times New Roman" w:cs="Times New Roman"/>
        </w:rPr>
        <w:t>belirlenmelidir.Ayrıca</w:t>
      </w:r>
      <w:proofErr w:type="gramEnd"/>
      <w:r w:rsidRPr="00AE45A9">
        <w:rPr>
          <w:rFonts w:ascii="Times New Roman" w:hAnsi="Times New Roman" w:cs="Times New Roman"/>
        </w:rPr>
        <w:t xml:space="preserve"> aynı örneğin tekrarlayan çözündürme–dondurma işlemlerine maruz bırakılması, aranılan maddenin yapısını ve stabilitesini olumsuz etkileyebileceğinden bu durumdan kaçınılmalıdır. Bu nedenle örneklerin, ihtiyaç duyulabilecek analiz sayısı dikkate alınarak uygun hacimlerde alikotlara bölünüp saklanması daha doğru bir yaklaşımdır.</w:t>
      </w:r>
    </w:p>
    <w:p w14:paraId="43335E83" w14:textId="4FD7156D" w:rsidR="00AE45A9" w:rsidRPr="00AE45A9" w:rsidRDefault="00AE45A9" w:rsidP="00AE45A9">
      <w:pPr>
        <w:jc w:val="both"/>
        <w:rPr>
          <w:rFonts w:ascii="Times New Roman" w:hAnsi="Times New Roman" w:cs="Times New Roman"/>
          <w:b/>
          <w:bCs/>
        </w:rPr>
      </w:pPr>
      <w:r w:rsidRPr="00AE45A9">
        <w:rPr>
          <w:rFonts w:ascii="Times New Roman" w:hAnsi="Times New Roman" w:cs="Times New Roman"/>
          <w:b/>
          <w:bCs/>
        </w:rPr>
        <w:t>Toksikolojide İzolasyon Yöntemlerine Göre Zehirlerin Sınıflandırılması</w:t>
      </w:r>
    </w:p>
    <w:p w14:paraId="777EED4A"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Toksikolojik analizlerde zehirler, biyolojik örneklerden izolasyon (ayırma) yöntemleri esas alınarak genel olarak beş ana grupta değerlendirilir:</w:t>
      </w:r>
    </w:p>
    <w:p w14:paraId="5B6215DC" w14:textId="776A3B7A" w:rsidR="00AE45A9" w:rsidRPr="00AE45A9" w:rsidRDefault="00AE45A9" w:rsidP="00AE45A9">
      <w:pPr>
        <w:pStyle w:val="ListeParagraf"/>
        <w:numPr>
          <w:ilvl w:val="0"/>
          <w:numId w:val="4"/>
        </w:numPr>
        <w:jc w:val="both"/>
        <w:rPr>
          <w:rFonts w:ascii="Times New Roman" w:hAnsi="Times New Roman" w:cs="Times New Roman"/>
        </w:rPr>
      </w:pPr>
      <w:r w:rsidRPr="00AE45A9">
        <w:rPr>
          <w:rFonts w:ascii="Times New Roman" w:hAnsi="Times New Roman" w:cs="Times New Roman"/>
        </w:rPr>
        <w:t>Uçucu zehirler</w:t>
      </w:r>
    </w:p>
    <w:p w14:paraId="5CED7B00" w14:textId="790B4829" w:rsidR="00AE45A9" w:rsidRPr="00AE45A9" w:rsidRDefault="00AE45A9" w:rsidP="00AE45A9">
      <w:pPr>
        <w:pStyle w:val="ListeParagraf"/>
        <w:numPr>
          <w:ilvl w:val="0"/>
          <w:numId w:val="4"/>
        </w:numPr>
        <w:jc w:val="both"/>
        <w:rPr>
          <w:rFonts w:ascii="Times New Roman" w:hAnsi="Times New Roman" w:cs="Times New Roman"/>
        </w:rPr>
      </w:pPr>
      <w:r w:rsidRPr="00AE45A9">
        <w:rPr>
          <w:rFonts w:ascii="Times New Roman" w:hAnsi="Times New Roman" w:cs="Times New Roman"/>
        </w:rPr>
        <w:t>Uçucu olmayan organik zehirler</w:t>
      </w:r>
    </w:p>
    <w:p w14:paraId="1D94A64A" w14:textId="79B00EFF" w:rsidR="00AE45A9" w:rsidRPr="00AE45A9" w:rsidRDefault="00AE45A9" w:rsidP="00AE45A9">
      <w:pPr>
        <w:pStyle w:val="ListeParagraf"/>
        <w:numPr>
          <w:ilvl w:val="0"/>
          <w:numId w:val="4"/>
        </w:numPr>
        <w:jc w:val="both"/>
        <w:rPr>
          <w:rFonts w:ascii="Times New Roman" w:hAnsi="Times New Roman" w:cs="Times New Roman"/>
        </w:rPr>
      </w:pPr>
      <w:r w:rsidRPr="00AE45A9">
        <w:rPr>
          <w:rFonts w:ascii="Times New Roman" w:hAnsi="Times New Roman" w:cs="Times New Roman"/>
        </w:rPr>
        <w:t>Metalik zehirler</w:t>
      </w:r>
    </w:p>
    <w:p w14:paraId="6ABC1EF3" w14:textId="5F6BD1FF" w:rsidR="00AE45A9" w:rsidRPr="00AE45A9" w:rsidRDefault="00AE45A9" w:rsidP="00AE45A9">
      <w:pPr>
        <w:pStyle w:val="ListeParagraf"/>
        <w:numPr>
          <w:ilvl w:val="0"/>
          <w:numId w:val="4"/>
        </w:numPr>
        <w:jc w:val="both"/>
        <w:rPr>
          <w:rFonts w:ascii="Times New Roman" w:hAnsi="Times New Roman" w:cs="Times New Roman"/>
        </w:rPr>
      </w:pPr>
      <w:r w:rsidRPr="00AE45A9">
        <w:rPr>
          <w:rFonts w:ascii="Times New Roman" w:hAnsi="Times New Roman" w:cs="Times New Roman"/>
        </w:rPr>
        <w:t>Toksik anyonlar</w:t>
      </w:r>
    </w:p>
    <w:p w14:paraId="33FC20E4" w14:textId="017B4D8C" w:rsidR="00AE45A9" w:rsidRDefault="00AE45A9" w:rsidP="00AE45A9">
      <w:pPr>
        <w:pStyle w:val="ListeParagraf"/>
        <w:numPr>
          <w:ilvl w:val="0"/>
          <w:numId w:val="4"/>
        </w:numPr>
        <w:jc w:val="both"/>
        <w:rPr>
          <w:rFonts w:ascii="Times New Roman" w:hAnsi="Times New Roman" w:cs="Times New Roman"/>
        </w:rPr>
      </w:pPr>
      <w:r w:rsidRPr="00AE45A9">
        <w:rPr>
          <w:rFonts w:ascii="Times New Roman" w:hAnsi="Times New Roman" w:cs="Times New Roman"/>
        </w:rPr>
        <w:t>Özel olarak araştırılması gereken zehirler</w:t>
      </w:r>
    </w:p>
    <w:p w14:paraId="37A14A65" w14:textId="77777777" w:rsidR="00AE45A9" w:rsidRDefault="00AE45A9" w:rsidP="00AE45A9">
      <w:pPr>
        <w:jc w:val="both"/>
        <w:rPr>
          <w:rFonts w:ascii="Times New Roman" w:hAnsi="Times New Roman" w:cs="Times New Roman"/>
        </w:rPr>
      </w:pPr>
      <w:r w:rsidRPr="00AE45A9">
        <w:rPr>
          <w:rFonts w:ascii="Times New Roman" w:hAnsi="Times New Roman" w:cs="Times New Roman"/>
        </w:rPr>
        <w:t>Biyolojik örnek (kan/idrar/doku) çok karmaşık bir matrikstir. Bu yüzden toksik maddeyi uçuculuğu, polaritesi/iyonik yapısı ve elementer (metal/metaloid) olup olmaması gibi özelliklerine göre farklı izolasyon–ayırma stratejileriyle yakalayıp doğrularız. Sistematik toksikolojik analiz (STA) stratejileri bu sınıflamayı pratikte destekler.</w:t>
      </w:r>
    </w:p>
    <w:p w14:paraId="41AFE0DA" w14:textId="7CA356A3" w:rsidR="00AE45A9" w:rsidRPr="00EB7EBC" w:rsidRDefault="004C3DC3" w:rsidP="00AE45A9">
      <w:pPr>
        <w:jc w:val="both"/>
        <w:rPr>
          <w:rFonts w:ascii="Times New Roman" w:hAnsi="Times New Roman" w:cs="Times New Roman"/>
          <w:b/>
          <w:bCs/>
        </w:rPr>
      </w:pPr>
      <w:r w:rsidRPr="00EB7EBC">
        <w:rPr>
          <w:rFonts w:ascii="Times New Roman" w:hAnsi="Times New Roman" w:cs="Times New Roman"/>
          <w:b/>
          <w:bCs/>
        </w:rPr>
        <w:t>UÇUCU ZEHİRLER</w:t>
      </w:r>
    </w:p>
    <w:p w14:paraId="23888365" w14:textId="28FEE5FC" w:rsidR="00EB7EBC" w:rsidRDefault="00EB7EBC" w:rsidP="00AE45A9">
      <w:pPr>
        <w:jc w:val="both"/>
        <w:rPr>
          <w:rFonts w:ascii="Times New Roman" w:hAnsi="Times New Roman" w:cs="Times New Roman"/>
          <w:b/>
          <w:bCs/>
          <w:u w:val="single"/>
        </w:rPr>
      </w:pPr>
      <w:r w:rsidRPr="00EB7EBC">
        <w:rPr>
          <w:rFonts w:ascii="Times New Roman" w:hAnsi="Times New Roman" w:cs="Times New Roman"/>
          <w:b/>
          <w:bCs/>
          <w:u w:val="single"/>
        </w:rPr>
        <w:t>ALKOLLER – METANOL (CH₃OH)</w:t>
      </w:r>
    </w:p>
    <w:p w14:paraId="00CF6FCF"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1) Genel özellikler</w:t>
      </w:r>
    </w:p>
    <w:p w14:paraId="777BE49D" w14:textId="04D824DC" w:rsidR="00EB7EBC" w:rsidRPr="00EB7EBC" w:rsidRDefault="00EB7EBC" w:rsidP="00EB7EBC">
      <w:pPr>
        <w:jc w:val="both"/>
        <w:rPr>
          <w:rFonts w:ascii="Times New Roman" w:hAnsi="Times New Roman" w:cs="Times New Roman"/>
        </w:rPr>
      </w:pPr>
      <w:r w:rsidRPr="00EB7EBC">
        <w:rPr>
          <w:rFonts w:ascii="Times New Roman" w:hAnsi="Times New Roman" w:cs="Times New Roman"/>
        </w:rPr>
        <w:t xml:space="preserve">Metanol; renksiz, polar, uçucu ve yanıcı bir sıvıdır; kendine özgü bir kokusu </w:t>
      </w:r>
      <w:proofErr w:type="gramStart"/>
      <w:r w:rsidRPr="00EB7EBC">
        <w:rPr>
          <w:rFonts w:ascii="Times New Roman" w:hAnsi="Times New Roman" w:cs="Times New Roman"/>
        </w:rPr>
        <w:t>vardır.“</w:t>
      </w:r>
      <w:proofErr w:type="gramEnd"/>
      <w:r w:rsidRPr="00EB7EBC">
        <w:rPr>
          <w:rFonts w:ascii="Times New Roman" w:hAnsi="Times New Roman" w:cs="Times New Roman"/>
        </w:rPr>
        <w:t>Metil alkol, odun alkolü, denatüre alkol, karbinol” gibi adlarla da anılır.</w:t>
      </w:r>
    </w:p>
    <w:p w14:paraId="44DCDD7B"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2) Kullanım alanları / kaynaklar</w:t>
      </w:r>
    </w:p>
    <w:p w14:paraId="73E7E52C" w14:textId="7978BC57" w:rsidR="00EB7EBC" w:rsidRPr="00EB7EBC" w:rsidRDefault="00EB7EBC" w:rsidP="00EB7EBC">
      <w:pPr>
        <w:jc w:val="both"/>
        <w:rPr>
          <w:rFonts w:ascii="Times New Roman" w:hAnsi="Times New Roman" w:cs="Times New Roman"/>
        </w:rPr>
      </w:pPr>
      <w:r w:rsidRPr="00EB7EBC">
        <w:rPr>
          <w:rFonts w:ascii="Times New Roman" w:hAnsi="Times New Roman" w:cs="Times New Roman"/>
        </w:rPr>
        <w:t xml:space="preserve">Yüzey temizleyiciler, ilaç endüstrisi, antifriz, boya sökücü, vernik, çözücü (solvan) ve yakıt olarak </w:t>
      </w:r>
      <w:proofErr w:type="gramStart"/>
      <w:r w:rsidRPr="00EB7EBC">
        <w:rPr>
          <w:rFonts w:ascii="Times New Roman" w:hAnsi="Times New Roman" w:cs="Times New Roman"/>
        </w:rPr>
        <w:t>kullanılabilir.Ev</w:t>
      </w:r>
      <w:proofErr w:type="gramEnd"/>
      <w:r w:rsidRPr="00EB7EBC">
        <w:rPr>
          <w:rFonts w:ascii="Times New Roman" w:hAnsi="Times New Roman" w:cs="Times New Roman"/>
        </w:rPr>
        <w:t xml:space="preserve"> yapımı etanol distilasyonlarında istenmeyen yan ürün olarak </w:t>
      </w:r>
      <w:proofErr w:type="gramStart"/>
      <w:r w:rsidRPr="00EB7EBC">
        <w:rPr>
          <w:rFonts w:ascii="Times New Roman" w:hAnsi="Times New Roman" w:cs="Times New Roman"/>
        </w:rPr>
        <w:t>oluşabilir.Kaçak</w:t>
      </w:r>
      <w:proofErr w:type="gramEnd"/>
      <w:r w:rsidRPr="00EB7EBC">
        <w:rPr>
          <w:rFonts w:ascii="Times New Roman" w:hAnsi="Times New Roman" w:cs="Times New Roman"/>
        </w:rPr>
        <w:t xml:space="preserve"> üretilen kolonya, rakı ve diğer alkollü içkilerde bulunma riski vardır.</w:t>
      </w:r>
    </w:p>
    <w:p w14:paraId="68173D14"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3) Maruziyet yolu</w:t>
      </w:r>
    </w:p>
    <w:p w14:paraId="33080CAD"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Oral, inhalasyon, dermal ve oküler yolla maruziyet gelişebilir.</w:t>
      </w:r>
    </w:p>
    <w:p w14:paraId="2C8A113F"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4) Toksikokinetik (özet)</w:t>
      </w:r>
    </w:p>
    <w:p w14:paraId="4D12B776" w14:textId="78FE1B25" w:rsidR="00EB7EBC" w:rsidRPr="00EB7EBC" w:rsidRDefault="00EB7EBC" w:rsidP="00EB7EBC">
      <w:pPr>
        <w:jc w:val="both"/>
        <w:rPr>
          <w:rFonts w:ascii="Times New Roman" w:hAnsi="Times New Roman" w:cs="Times New Roman"/>
        </w:rPr>
      </w:pPr>
      <w:r w:rsidRPr="00EB7EBC">
        <w:rPr>
          <w:rFonts w:ascii="Times New Roman" w:hAnsi="Times New Roman" w:cs="Times New Roman"/>
        </w:rPr>
        <w:lastRenderedPageBreak/>
        <w:t xml:space="preserve">Metanol hızlı </w:t>
      </w:r>
      <w:proofErr w:type="gramStart"/>
      <w:r w:rsidRPr="00EB7EBC">
        <w:rPr>
          <w:rFonts w:ascii="Times New Roman" w:hAnsi="Times New Roman" w:cs="Times New Roman"/>
        </w:rPr>
        <w:t>emilir.Yaklaşık</w:t>
      </w:r>
      <w:proofErr w:type="gramEnd"/>
      <w:r w:rsidRPr="00EB7EBC">
        <w:rPr>
          <w:rFonts w:ascii="Times New Roman" w:hAnsi="Times New Roman" w:cs="Times New Roman"/>
        </w:rPr>
        <w:t xml:space="preserve"> yarı ömür: 8–28 saat, Vd: 0,6 L/kg.Plazma proteinlerine belirgin bağlanmadığı kabul </w:t>
      </w:r>
      <w:proofErr w:type="gramStart"/>
      <w:r w:rsidRPr="00EB7EBC">
        <w:rPr>
          <w:rFonts w:ascii="Times New Roman" w:hAnsi="Times New Roman" w:cs="Times New Roman"/>
        </w:rPr>
        <w:t>edilir.Metanol</w:t>
      </w:r>
      <w:proofErr w:type="gramEnd"/>
      <w:r w:rsidRPr="00EB7EBC">
        <w:rPr>
          <w:rFonts w:ascii="Times New Roman" w:hAnsi="Times New Roman" w:cs="Times New Roman"/>
        </w:rPr>
        <w:t>; alkol dehidrogenaz (ADH) ve aldehit dehidrogenaz ile sırasıyla formaldehit ve formik aside metabolize olur.</w:t>
      </w:r>
      <w:r>
        <w:rPr>
          <w:rFonts w:ascii="Times New Roman" w:hAnsi="Times New Roman" w:cs="Times New Roman"/>
        </w:rPr>
        <w:t xml:space="preserve"> </w:t>
      </w:r>
      <w:r w:rsidRPr="00EB7EBC">
        <w:rPr>
          <w:rFonts w:ascii="Times New Roman" w:hAnsi="Times New Roman" w:cs="Times New Roman"/>
        </w:rPr>
        <w:t>Formik asit, metabolik asidozun temel nedeni olup ayrıca retinal/optik toksisite ile körlüğe yol açabilen ana toksik metabolittir.</w:t>
      </w:r>
    </w:p>
    <w:p w14:paraId="5E63C415"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5) İzin verilen maruziyet düzeyi</w:t>
      </w:r>
    </w:p>
    <w:p w14:paraId="546EBF1D"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TLV: 200 ppm (≈ 260 mg/m³)</w:t>
      </w:r>
    </w:p>
    <w:p w14:paraId="0BCEC049"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6) Toksik doz</w:t>
      </w:r>
    </w:p>
    <w:p w14:paraId="265F0DA6" w14:textId="6FEABE34" w:rsidR="00EB7EBC" w:rsidRPr="00EB7EBC" w:rsidRDefault="00EB7EBC" w:rsidP="00EB7EBC">
      <w:pPr>
        <w:jc w:val="both"/>
        <w:rPr>
          <w:rFonts w:ascii="Times New Roman" w:hAnsi="Times New Roman" w:cs="Times New Roman"/>
          <w:b/>
          <w:bCs/>
          <w:u w:val="single"/>
        </w:rPr>
      </w:pPr>
      <w:r w:rsidRPr="00EB7EBC">
        <w:rPr>
          <w:rFonts w:ascii="Times New Roman" w:hAnsi="Times New Roman" w:cs="Times New Roman"/>
        </w:rPr>
        <w:t xml:space="preserve">Metanol çok </w:t>
      </w:r>
      <w:proofErr w:type="gramStart"/>
      <w:r w:rsidRPr="00EB7EBC">
        <w:rPr>
          <w:rFonts w:ascii="Times New Roman" w:hAnsi="Times New Roman" w:cs="Times New Roman"/>
        </w:rPr>
        <w:t>toksiktir.Yetişkinde</w:t>
      </w:r>
      <w:proofErr w:type="gramEnd"/>
      <w:r w:rsidRPr="00EB7EBC">
        <w:rPr>
          <w:rFonts w:ascii="Times New Roman" w:hAnsi="Times New Roman" w:cs="Times New Roman"/>
        </w:rPr>
        <w:t xml:space="preserve"> yaklaşık 30–200 mL saf metanol (yaklaşık 0,5 mL/kg) ölümcül olabilir (koşullara bağlı)</w:t>
      </w:r>
      <w:r w:rsidRPr="00EB7EBC">
        <w:rPr>
          <w:rFonts w:ascii="Times New Roman" w:hAnsi="Times New Roman" w:cs="Times New Roman"/>
          <w:b/>
          <w:bCs/>
          <w:u w:val="single"/>
        </w:rPr>
        <w:t>.</w:t>
      </w:r>
    </w:p>
    <w:p w14:paraId="0C9DFDAB"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7) Toksisite mekanizması</w:t>
      </w:r>
    </w:p>
    <w:p w14:paraId="7602F917"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Metanolün başlıca iki önemli toksik etkisi vardır:</w:t>
      </w:r>
    </w:p>
    <w:p w14:paraId="067C7F2B" w14:textId="16A89D07" w:rsidR="00EB7EBC" w:rsidRPr="00EB7EBC" w:rsidRDefault="00EB7EBC" w:rsidP="00EB7EBC">
      <w:pPr>
        <w:jc w:val="both"/>
        <w:rPr>
          <w:rFonts w:ascii="Times New Roman" w:hAnsi="Times New Roman" w:cs="Times New Roman"/>
        </w:rPr>
      </w:pPr>
      <w:r>
        <w:rPr>
          <w:rFonts w:ascii="Times New Roman" w:hAnsi="Times New Roman" w:cs="Times New Roman"/>
        </w:rPr>
        <w:t>1.</w:t>
      </w:r>
      <w:r w:rsidRPr="00EB7EBC">
        <w:rPr>
          <w:rFonts w:ascii="Times New Roman" w:hAnsi="Times New Roman" w:cs="Times New Roman"/>
        </w:rPr>
        <w:t xml:space="preserve">Göz/optik sinir toksisitesi Formik asit, mitokondride sitokrom c oksidazı inhibe ederek hücresel hipoksiye yol </w:t>
      </w:r>
      <w:proofErr w:type="gramStart"/>
      <w:r w:rsidRPr="00EB7EBC">
        <w:rPr>
          <w:rFonts w:ascii="Times New Roman" w:hAnsi="Times New Roman" w:cs="Times New Roman"/>
        </w:rPr>
        <w:t>açar.Sonuç</w:t>
      </w:r>
      <w:proofErr w:type="gramEnd"/>
      <w:r w:rsidRPr="00EB7EBC">
        <w:rPr>
          <w:rFonts w:ascii="Times New Roman" w:hAnsi="Times New Roman" w:cs="Times New Roman"/>
        </w:rPr>
        <w:t>: görme bozukluğu ve kalıcı hasar riski + metabolik asidozun temel mekanizması.</w:t>
      </w:r>
    </w:p>
    <w:p w14:paraId="4EBF6ACC" w14:textId="65FD7246" w:rsidR="00EB7EBC" w:rsidRPr="00EB7EBC" w:rsidRDefault="00EB7EBC" w:rsidP="00EB7EBC">
      <w:pPr>
        <w:jc w:val="both"/>
        <w:rPr>
          <w:rFonts w:ascii="Times New Roman" w:hAnsi="Times New Roman" w:cs="Times New Roman"/>
        </w:rPr>
      </w:pPr>
      <w:r>
        <w:rPr>
          <w:rFonts w:ascii="Times New Roman" w:hAnsi="Times New Roman" w:cs="Times New Roman"/>
        </w:rPr>
        <w:t>2.</w:t>
      </w:r>
      <w:r w:rsidRPr="00EB7EBC">
        <w:rPr>
          <w:rFonts w:ascii="Times New Roman" w:hAnsi="Times New Roman" w:cs="Times New Roman"/>
        </w:rPr>
        <w:t>Merkezi sinir sistemi depresyonuAğır maruziyette belirgin SSS depresyonu gelişebilir.</w:t>
      </w:r>
    </w:p>
    <w:p w14:paraId="293CBFBE"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8) Zehirlenme bulguları</w:t>
      </w:r>
    </w:p>
    <w:p w14:paraId="52741A99"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Erken dönemde: ataksi, sedasyon, reflekslerde azalma, karın ağrısı, bulantı-kusma, baş ağrısı görülebilir.</w:t>
      </w:r>
    </w:p>
    <w:p w14:paraId="24538FA1"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Daha ağır tabloda: metabolik asidoz ve/veya görme bulguları (midriyazis, optik disk hiperemisi, papil ödemi, kalıcı görme kaybı) ortaya çıkabilir.</w:t>
      </w:r>
    </w:p>
    <w:p w14:paraId="572C76BA"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Metanol zehirlenmesinde 1–72 saatlik asemptomatik (latent) dönem görülebilir; sonrasında ağır klinik hızla gelişebilir.</w:t>
      </w:r>
    </w:p>
    <w:p w14:paraId="560ACA4B"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İleri tabloda: taşipne, hipotansiyon, taşikardi, disritmi, kalp yetmezliği, nöbet, koma, pankreatit, karaciğer fonksiyon bozukluğu ve akut böbrek yetmezliği dahil çoklu organ yetmezliği gelişebilir.</w:t>
      </w:r>
    </w:p>
    <w:p w14:paraId="457E2881"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Ağır olgularda bazal ganglion hasarı ile parkinson benzeri sekeller (tremor, bradikinezi, rijidite) görülebilir.</w:t>
      </w:r>
    </w:p>
    <w:p w14:paraId="4813EB22"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Ölüm genellikle solunum yetmezliği/felci ile ilişkilidir.</w:t>
      </w:r>
    </w:p>
    <w:p w14:paraId="39F869DF"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Kronik/tekrarlayan maruziyet: göz irritasyonu-konjonktivit, bulanık görme/kalıcı görme kaybı, tekrarlayan baş ağrısı, baş dönmesi, uyku bozukluğu, karın ağrısı gibi yakınmalarla ilişkili olabilir; bazı kaynaklarda doğumsal etkiler/SSS sorunları açısından olası risk tartışılmaktadır.</w:t>
      </w:r>
    </w:p>
    <w:p w14:paraId="1A391B25"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9) Tedavi (genel yaklaşım)</w:t>
      </w:r>
    </w:p>
    <w:p w14:paraId="007275B3" w14:textId="4715E42F" w:rsidR="00EB7EBC" w:rsidRPr="00EB7EBC" w:rsidRDefault="00EB7EBC" w:rsidP="00EB7EBC">
      <w:pPr>
        <w:jc w:val="both"/>
        <w:rPr>
          <w:rFonts w:ascii="Times New Roman" w:hAnsi="Times New Roman" w:cs="Times New Roman"/>
        </w:rPr>
      </w:pPr>
      <w:r w:rsidRPr="00EB7EBC">
        <w:rPr>
          <w:rFonts w:ascii="Times New Roman" w:hAnsi="Times New Roman" w:cs="Times New Roman"/>
        </w:rPr>
        <w:t>Öncelik: ABC değerlendirmesi (hava yolu–solunum–dolaşım) ve gerekirse temel/ileri yaşam desteği.</w:t>
      </w:r>
      <w:r>
        <w:rPr>
          <w:rFonts w:ascii="Times New Roman" w:hAnsi="Times New Roman" w:cs="Times New Roman"/>
        </w:rPr>
        <w:t xml:space="preserve"> </w:t>
      </w:r>
      <w:r w:rsidRPr="00EB7EBC">
        <w:rPr>
          <w:rFonts w:ascii="Times New Roman" w:hAnsi="Times New Roman" w:cs="Times New Roman"/>
        </w:rPr>
        <w:t xml:space="preserve">Belirgin SSS veya solunum depresyonunda entübasyon </w:t>
      </w:r>
      <w:proofErr w:type="gramStart"/>
      <w:r w:rsidRPr="00EB7EBC">
        <w:rPr>
          <w:rFonts w:ascii="Times New Roman" w:hAnsi="Times New Roman" w:cs="Times New Roman"/>
        </w:rPr>
        <w:t>gerekebilir.Koma</w:t>
      </w:r>
      <w:proofErr w:type="gramEnd"/>
      <w:r w:rsidRPr="00EB7EBC">
        <w:rPr>
          <w:rFonts w:ascii="Times New Roman" w:hAnsi="Times New Roman" w:cs="Times New Roman"/>
        </w:rPr>
        <w:t xml:space="preserve">, nöbet, </w:t>
      </w:r>
      <w:r w:rsidRPr="00EB7EBC">
        <w:rPr>
          <w:rFonts w:ascii="Times New Roman" w:hAnsi="Times New Roman" w:cs="Times New Roman"/>
        </w:rPr>
        <w:lastRenderedPageBreak/>
        <w:t xml:space="preserve">hipoglisemi yönetilir; nöbette benzodiazepin tercih edilir. Kronik alkolizm/malnütrisyonda Wernicke riskine karşı tiamin i.v. (örn. 100 mg) </w:t>
      </w:r>
      <w:proofErr w:type="gramStart"/>
      <w:r w:rsidRPr="00EB7EBC">
        <w:rPr>
          <w:rFonts w:ascii="Times New Roman" w:hAnsi="Times New Roman" w:cs="Times New Roman"/>
        </w:rPr>
        <w:t>uygulanabilir.Şiddetli</w:t>
      </w:r>
      <w:proofErr w:type="gramEnd"/>
      <w:r w:rsidRPr="00EB7EBC">
        <w:rPr>
          <w:rFonts w:ascii="Times New Roman" w:hAnsi="Times New Roman" w:cs="Times New Roman"/>
        </w:rPr>
        <w:t xml:space="preserve"> asidoz (pH </w:t>
      </w:r>
      <w:proofErr w:type="gramStart"/>
      <w:r w:rsidRPr="00EB7EBC">
        <w:rPr>
          <w:rFonts w:ascii="Times New Roman" w:hAnsi="Times New Roman" w:cs="Times New Roman"/>
        </w:rPr>
        <w:t>&lt; 7</w:t>
      </w:r>
      <w:proofErr w:type="gramEnd"/>
      <w:r w:rsidRPr="00EB7EBC">
        <w:rPr>
          <w:rFonts w:ascii="Times New Roman" w:hAnsi="Times New Roman" w:cs="Times New Roman"/>
        </w:rPr>
        <w:t xml:space="preserve">,20) varsa sodyum bikarbonat i.v. verilerek pH fizyolojik aralığa yaklaştırılmaya </w:t>
      </w:r>
      <w:proofErr w:type="gramStart"/>
      <w:r w:rsidRPr="00EB7EBC">
        <w:rPr>
          <w:rFonts w:ascii="Times New Roman" w:hAnsi="Times New Roman" w:cs="Times New Roman"/>
        </w:rPr>
        <w:t>çalışılır.Ağır</w:t>
      </w:r>
      <w:proofErr w:type="gramEnd"/>
      <w:r w:rsidRPr="00EB7EBC">
        <w:rPr>
          <w:rFonts w:ascii="Times New Roman" w:hAnsi="Times New Roman" w:cs="Times New Roman"/>
        </w:rPr>
        <w:t xml:space="preserve"> zehirlenmede (yüksek metanol düzeyi, görme bulguları, belirgin asidoz, bilinç bozukluğu): hızlıca ADH inhibisyonu + folat tedavisi planlanır.</w:t>
      </w:r>
    </w:p>
    <w:p w14:paraId="7CBB44BB" w14:textId="77777777" w:rsidR="00EB7EBC" w:rsidRPr="000853E3" w:rsidRDefault="00EB7EBC" w:rsidP="00EB7EBC">
      <w:pPr>
        <w:jc w:val="both"/>
        <w:rPr>
          <w:rFonts w:ascii="Times New Roman" w:hAnsi="Times New Roman" w:cs="Times New Roman"/>
          <w:b/>
          <w:bCs/>
        </w:rPr>
      </w:pPr>
      <w:r w:rsidRPr="000853E3">
        <w:rPr>
          <w:rFonts w:ascii="Times New Roman" w:hAnsi="Times New Roman" w:cs="Times New Roman"/>
          <w:b/>
          <w:bCs/>
        </w:rPr>
        <w:t>10) Dekontaminasyon / uzaklaştırma</w:t>
      </w:r>
    </w:p>
    <w:p w14:paraId="7A19F97A"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Oral: kusturma önerilmez; metanol hızlı emilir ve aktif kömüre sınırlı bağlanır. Çok erken başvuruda gastrik aspirasyon bazı olgularda düşünülebilir.</w:t>
      </w:r>
    </w:p>
    <w:p w14:paraId="6E13DC14"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İnhalasyon: temiz havaya çıkarma; gerekirse oksijen/ventilasyon desteği.</w:t>
      </w:r>
    </w:p>
    <w:p w14:paraId="0AB24D95"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Göz: kontakt lens çıkarılır; %0,9 SF veya suyla ~15 dk yıkama.</w:t>
      </w:r>
    </w:p>
    <w:p w14:paraId="279396E7"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Deri: kontamine kıyafet/takı çıkarılır; su ve sabunla 10–15 dk nazik yıkama.</w:t>
      </w:r>
    </w:p>
    <w:p w14:paraId="76B4478C" w14:textId="77777777" w:rsidR="00EB7EBC" w:rsidRPr="000853E3" w:rsidRDefault="00EB7EBC" w:rsidP="00EB7EBC">
      <w:pPr>
        <w:jc w:val="both"/>
        <w:rPr>
          <w:rFonts w:ascii="Times New Roman" w:hAnsi="Times New Roman" w:cs="Times New Roman"/>
          <w:b/>
          <w:bCs/>
        </w:rPr>
      </w:pPr>
      <w:r w:rsidRPr="000853E3">
        <w:rPr>
          <w:rFonts w:ascii="Times New Roman" w:hAnsi="Times New Roman" w:cs="Times New Roman"/>
          <w:b/>
          <w:bCs/>
        </w:rPr>
        <w:t>11) Antidotal tedavi</w:t>
      </w:r>
    </w:p>
    <w:p w14:paraId="1906375C" w14:textId="422409DF" w:rsidR="00EB7EBC" w:rsidRPr="00EB7EBC" w:rsidRDefault="00EB7EBC" w:rsidP="00EB7EBC">
      <w:pPr>
        <w:jc w:val="both"/>
        <w:rPr>
          <w:rFonts w:ascii="Times New Roman" w:hAnsi="Times New Roman" w:cs="Times New Roman"/>
        </w:rPr>
      </w:pPr>
      <w:r w:rsidRPr="00EB7EBC">
        <w:rPr>
          <w:rFonts w:ascii="Times New Roman" w:hAnsi="Times New Roman" w:cs="Times New Roman"/>
        </w:rPr>
        <w:t>Amaç: formik asit oluşumunu azaltmak (metanol → formaldehit → formik asit dönüşümünü durdurmak</w:t>
      </w:r>
      <w:proofErr w:type="gramStart"/>
      <w:r w:rsidRPr="00EB7EBC">
        <w:rPr>
          <w:rFonts w:ascii="Times New Roman" w:hAnsi="Times New Roman" w:cs="Times New Roman"/>
        </w:rPr>
        <w:t>).Fomepizol</w:t>
      </w:r>
      <w:proofErr w:type="gramEnd"/>
      <w:r w:rsidRPr="00EB7EBC">
        <w:rPr>
          <w:rFonts w:ascii="Times New Roman" w:hAnsi="Times New Roman" w:cs="Times New Roman"/>
        </w:rPr>
        <w:t xml:space="preserve"> (4-metilpirazol) veya etanol </w:t>
      </w:r>
      <w:proofErr w:type="gramStart"/>
      <w:r w:rsidRPr="00EB7EBC">
        <w:rPr>
          <w:rFonts w:ascii="Times New Roman" w:hAnsi="Times New Roman" w:cs="Times New Roman"/>
        </w:rPr>
        <w:t>kullanılabilir.Fomepizol</w:t>
      </w:r>
      <w:proofErr w:type="gramEnd"/>
      <w:r w:rsidRPr="00EB7EBC">
        <w:rPr>
          <w:rFonts w:ascii="Times New Roman" w:hAnsi="Times New Roman" w:cs="Times New Roman"/>
        </w:rPr>
        <w:t>, etanole göre genellikle daha kolay izlenir (etanolde sürekli uygulama ve sık takip gereksinimi daha fazladır).</w:t>
      </w:r>
    </w:p>
    <w:p w14:paraId="1E867AE6"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İzlem: kan metanol düzeyi (varsa), SSS depresyonu ve hipoglisemi açısından hasta takip edilir.</w:t>
      </w:r>
    </w:p>
    <w:p w14:paraId="41880A16"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Fomepizol (özet): ADH’nin özgül inhibitörüdür; i.v. yükleme + idame dozlarıyla uygulanır ve klinik/asidoz düzelene veya metanol düzeyi güvenli seviyeye düşene kadar sürdürülür.</w:t>
      </w:r>
    </w:p>
    <w:p w14:paraId="2F3B623C"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Etanol (özet): ADH’ye afinitesi metanolden yüksek olduğundan metanolün toksik metabolitlere dönüşümünü kompetitif olarak engeller; hedef serum etanol düzeyi belirli aralıkta tutulacak şekilde i.v. uygulanır (gerektiğinde geçici oral uygulama).</w:t>
      </w:r>
    </w:p>
    <w:p w14:paraId="361BA3E3" w14:textId="77777777" w:rsidR="00EB7EBC" w:rsidRPr="00EB7EBC" w:rsidRDefault="00EB7EBC" w:rsidP="00EB7EBC">
      <w:pPr>
        <w:jc w:val="both"/>
        <w:rPr>
          <w:rFonts w:ascii="Times New Roman" w:hAnsi="Times New Roman" w:cs="Times New Roman"/>
        </w:rPr>
      </w:pPr>
      <w:r w:rsidRPr="00EB7EBC">
        <w:rPr>
          <w:rFonts w:ascii="Times New Roman" w:hAnsi="Times New Roman" w:cs="Times New Roman"/>
        </w:rPr>
        <w:t>Folat (folik asit / folinik asit): Formik asidin metabolizmasını hızlandırmayı amaçlar; özellikle asidoz/görme bulgusu olanlarda erken dönemde düzenli aralıklarla uygulanır.</w:t>
      </w:r>
    </w:p>
    <w:p w14:paraId="6D4023FC" w14:textId="77777777" w:rsidR="00EB7EBC" w:rsidRPr="000853E3" w:rsidRDefault="00EB7EBC" w:rsidP="00EB7EBC">
      <w:pPr>
        <w:jc w:val="both"/>
        <w:rPr>
          <w:rFonts w:ascii="Times New Roman" w:hAnsi="Times New Roman" w:cs="Times New Roman"/>
          <w:b/>
          <w:bCs/>
        </w:rPr>
      </w:pPr>
      <w:r w:rsidRPr="000853E3">
        <w:rPr>
          <w:rFonts w:ascii="Times New Roman" w:hAnsi="Times New Roman" w:cs="Times New Roman"/>
          <w:b/>
          <w:bCs/>
        </w:rPr>
        <w:t>12) Eliminasyonun artırılması</w:t>
      </w:r>
    </w:p>
    <w:p w14:paraId="6AC6481B" w14:textId="402FB291" w:rsidR="00EB7EBC" w:rsidRDefault="00EB7EBC" w:rsidP="00EB7EBC">
      <w:pPr>
        <w:jc w:val="both"/>
        <w:rPr>
          <w:rFonts w:ascii="Times New Roman" w:hAnsi="Times New Roman" w:cs="Times New Roman"/>
        </w:rPr>
      </w:pPr>
      <w:r w:rsidRPr="00EB7EBC">
        <w:rPr>
          <w:rFonts w:ascii="Times New Roman" w:hAnsi="Times New Roman" w:cs="Times New Roman"/>
        </w:rPr>
        <w:t>Metanol ve toksik metabolitleri hemodiyaliz ile vücuttan etkin şekilde uzaklaştırılabilir.</w:t>
      </w:r>
    </w:p>
    <w:p w14:paraId="45FE9AFC" w14:textId="0156F7DD" w:rsidR="00486B13" w:rsidRPr="00486B13" w:rsidRDefault="00486B13" w:rsidP="00EB7EBC">
      <w:pPr>
        <w:jc w:val="both"/>
        <w:rPr>
          <w:rFonts w:ascii="Times New Roman" w:hAnsi="Times New Roman" w:cs="Times New Roman"/>
          <w:b/>
          <w:bCs/>
        </w:rPr>
      </w:pPr>
      <w:r w:rsidRPr="00486B13">
        <w:rPr>
          <w:rFonts w:ascii="Times New Roman" w:hAnsi="Times New Roman" w:cs="Times New Roman"/>
          <w:b/>
          <w:bCs/>
        </w:rPr>
        <w:t>Laboratuvarda Alkol zehirlenmesinin Saptanması:</w:t>
      </w:r>
    </w:p>
    <w:p w14:paraId="527506A4" w14:textId="7A470CDD" w:rsidR="00486B13" w:rsidRDefault="00486B13" w:rsidP="00EB7EBC">
      <w:pPr>
        <w:jc w:val="both"/>
        <w:rPr>
          <w:rFonts w:ascii="Times New Roman" w:hAnsi="Times New Roman" w:cs="Times New Roman"/>
        </w:rPr>
      </w:pPr>
      <w:r>
        <w:rPr>
          <w:rFonts w:ascii="Times New Roman" w:hAnsi="Times New Roman" w:cs="Times New Roman"/>
        </w:rPr>
        <w:t>L</w:t>
      </w:r>
      <w:r w:rsidRPr="00486B13">
        <w:rPr>
          <w:rFonts w:ascii="Times New Roman" w:hAnsi="Times New Roman" w:cs="Times New Roman"/>
        </w:rPr>
        <w:t>aboratuvarda “alkol zehirlenmesi”ni saptama yaklaşımı pratikte iki basamaklıdır: (1) hızlı tarama/şüpheyi güçlendirme, (2) doğrulayıcı ve nicel ölçüm.</w:t>
      </w:r>
    </w:p>
    <w:p w14:paraId="3590B421" w14:textId="77777777" w:rsidR="00486B13" w:rsidRPr="00267278" w:rsidRDefault="00486B13" w:rsidP="00486B13">
      <w:pPr>
        <w:jc w:val="both"/>
        <w:rPr>
          <w:rFonts w:ascii="Times New Roman" w:hAnsi="Times New Roman" w:cs="Times New Roman"/>
          <w:b/>
          <w:bCs/>
        </w:rPr>
      </w:pPr>
      <w:r w:rsidRPr="00267278">
        <w:rPr>
          <w:rFonts w:ascii="Times New Roman" w:hAnsi="Times New Roman" w:cs="Times New Roman"/>
          <w:b/>
          <w:bCs/>
        </w:rPr>
        <w:t>1) Hangi örnek alınır ve nasıl alınır?</w:t>
      </w:r>
    </w:p>
    <w:p w14:paraId="3963E856" w14:textId="4F357CCE" w:rsidR="00486B13" w:rsidRDefault="00486B13" w:rsidP="00486B13">
      <w:pPr>
        <w:jc w:val="both"/>
        <w:rPr>
          <w:rFonts w:ascii="Times New Roman" w:hAnsi="Times New Roman" w:cs="Times New Roman"/>
        </w:rPr>
      </w:pPr>
      <w:r w:rsidRPr="00486B13">
        <w:rPr>
          <w:rFonts w:ascii="Times New Roman" w:hAnsi="Times New Roman" w:cs="Times New Roman"/>
        </w:rPr>
        <w:t>Tercih edilen örnek: tam kan (özellikle adli/forensik amaçta) ve/veya serum/plazma (klinik izlemde).</w:t>
      </w:r>
      <w:r w:rsidRPr="00486B13">
        <w:t xml:space="preserve"> </w:t>
      </w:r>
      <w:r w:rsidRPr="00486B13">
        <w:rPr>
          <w:rFonts w:ascii="Times New Roman" w:hAnsi="Times New Roman" w:cs="Times New Roman"/>
        </w:rPr>
        <w:t>Venipunktur bölgesi alkollü dezenfektanla temizlenmemeli (kontaminasyon riski</w:t>
      </w:r>
      <w:proofErr w:type="gramStart"/>
      <w:r w:rsidRPr="00486B13">
        <w:rPr>
          <w:rFonts w:ascii="Times New Roman" w:hAnsi="Times New Roman" w:cs="Times New Roman"/>
        </w:rPr>
        <w:t>).Uçucu</w:t>
      </w:r>
      <w:proofErr w:type="gramEnd"/>
      <w:r w:rsidRPr="00486B13">
        <w:rPr>
          <w:rFonts w:ascii="Times New Roman" w:hAnsi="Times New Roman" w:cs="Times New Roman"/>
        </w:rPr>
        <w:t xml:space="preserve"> kaybını azaltmak için tüp sıkı kapatılır ve mümkünse soğukta </w:t>
      </w:r>
      <w:proofErr w:type="gramStart"/>
      <w:r w:rsidRPr="00486B13">
        <w:rPr>
          <w:rFonts w:ascii="Times New Roman" w:hAnsi="Times New Roman" w:cs="Times New Roman"/>
        </w:rPr>
        <w:t>saklanır.Etanol</w:t>
      </w:r>
      <w:proofErr w:type="gramEnd"/>
      <w:r w:rsidRPr="00486B13">
        <w:rPr>
          <w:rFonts w:ascii="Times New Roman" w:hAnsi="Times New Roman" w:cs="Times New Roman"/>
        </w:rPr>
        <w:t xml:space="preserve"> ölçümlerinde çok kullanılan tüp: NaF/oksalat içeren “gri kapak” (mikrobiyal fermentasyonla yalancı artışı azaltmak için).</w:t>
      </w:r>
    </w:p>
    <w:p w14:paraId="1DF7B555" w14:textId="5201C5B9" w:rsidR="00267278" w:rsidRDefault="00267278" w:rsidP="00267278">
      <w:pPr>
        <w:jc w:val="both"/>
        <w:rPr>
          <w:rFonts w:ascii="Times New Roman" w:hAnsi="Times New Roman" w:cs="Times New Roman"/>
        </w:rPr>
      </w:pPr>
      <w:r w:rsidRPr="00267278">
        <w:rPr>
          <w:rFonts w:ascii="Times New Roman" w:hAnsi="Times New Roman" w:cs="Times New Roman"/>
        </w:rPr>
        <w:lastRenderedPageBreak/>
        <w:t>Doğrudan etanol ölçümü (hızlı</w:t>
      </w:r>
      <w:proofErr w:type="gramStart"/>
      <w:r w:rsidRPr="00267278">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Pr="00267278">
        <w:rPr>
          <w:rFonts w:ascii="Times New Roman" w:hAnsi="Times New Roman" w:cs="Times New Roman"/>
        </w:rPr>
        <w:t>Klinik biyokimya laboratuvarlarında enzimatik ADH temelli etanol testleri hızlı sonuç verir; acil serviste sık kullanılır. (Ancak en güvenilir doğrulama yöntemi GC’dir.)</w:t>
      </w:r>
    </w:p>
    <w:p w14:paraId="342E09FE" w14:textId="0599787A" w:rsidR="00267278" w:rsidRPr="00267278" w:rsidRDefault="00267278" w:rsidP="00267278">
      <w:pPr>
        <w:jc w:val="both"/>
        <w:rPr>
          <w:rFonts w:ascii="Times New Roman" w:hAnsi="Times New Roman" w:cs="Times New Roman"/>
          <w:b/>
          <w:bCs/>
        </w:rPr>
      </w:pPr>
      <w:r w:rsidRPr="00267278">
        <w:rPr>
          <w:rFonts w:ascii="Times New Roman" w:hAnsi="Times New Roman" w:cs="Times New Roman"/>
          <w:b/>
          <w:bCs/>
        </w:rPr>
        <w:t xml:space="preserve">AMONYAK (NH₃) </w:t>
      </w:r>
    </w:p>
    <w:p w14:paraId="65421CFA" w14:textId="77777777" w:rsidR="00267278" w:rsidRPr="000853E3" w:rsidRDefault="00267278" w:rsidP="00267278">
      <w:pPr>
        <w:jc w:val="both"/>
        <w:rPr>
          <w:rFonts w:ascii="Times New Roman" w:hAnsi="Times New Roman" w:cs="Times New Roman"/>
          <w:b/>
          <w:bCs/>
        </w:rPr>
      </w:pPr>
      <w:r w:rsidRPr="000853E3">
        <w:rPr>
          <w:rFonts w:ascii="Times New Roman" w:hAnsi="Times New Roman" w:cs="Times New Roman"/>
          <w:b/>
          <w:bCs/>
        </w:rPr>
        <w:t>1) Tanım ve temel özellikler</w:t>
      </w:r>
    </w:p>
    <w:p w14:paraId="2CA6DA1B"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Amonyak: Renksiz, keskin kokulu, yüksek suda çözünür ve güçlü irritan/korozif etki gösterebilen bir gazdır. Suda çözündüğünde amonyum hidroksit oluşturarak bazik/kaustik etkiyi artırır.</w:t>
      </w:r>
    </w:p>
    <w:p w14:paraId="5265D913"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Uyarı özelliği (koku eşiği): Düşük ppm düzeylerinde kokusu alınabilir; ancak olfaktör yorgunluk/adaptasyon gelişebilir (uzamış maruziyette kokuyu seçmek zorlaşır).</w:t>
      </w:r>
    </w:p>
    <w:p w14:paraId="12048CB4" w14:textId="77777777" w:rsidR="00267278" w:rsidRPr="000853E3" w:rsidRDefault="00267278" w:rsidP="00267278">
      <w:pPr>
        <w:jc w:val="both"/>
        <w:rPr>
          <w:rFonts w:ascii="Times New Roman" w:hAnsi="Times New Roman" w:cs="Times New Roman"/>
          <w:b/>
          <w:bCs/>
        </w:rPr>
      </w:pPr>
      <w:r w:rsidRPr="000853E3">
        <w:rPr>
          <w:rFonts w:ascii="Times New Roman" w:hAnsi="Times New Roman" w:cs="Times New Roman"/>
          <w:b/>
          <w:bCs/>
        </w:rPr>
        <w:t>2) Kullanım alanları ve maruziyet kaynakları</w:t>
      </w:r>
    </w:p>
    <w:p w14:paraId="50AEA296"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Endüstride yaygın: gübre üretimi, soğutma sistemleri (refrigerant), kimyasal üretim süreçleri ve bazı temizlik ürünleri.</w:t>
      </w:r>
    </w:p>
    <w:p w14:paraId="5D2F013E"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Mesleki risk: soğutma tesisleri, gübre/kimya endüstrisi, kaçak/arıza kaynaklı sızıntılar.</w:t>
      </w:r>
    </w:p>
    <w:p w14:paraId="5BF1129D" w14:textId="77777777" w:rsidR="00267278" w:rsidRPr="000853E3" w:rsidRDefault="00267278" w:rsidP="00267278">
      <w:pPr>
        <w:jc w:val="both"/>
        <w:rPr>
          <w:rFonts w:ascii="Times New Roman" w:hAnsi="Times New Roman" w:cs="Times New Roman"/>
          <w:b/>
          <w:bCs/>
        </w:rPr>
      </w:pPr>
      <w:r w:rsidRPr="000853E3">
        <w:rPr>
          <w:rFonts w:ascii="Times New Roman" w:hAnsi="Times New Roman" w:cs="Times New Roman"/>
          <w:b/>
          <w:bCs/>
        </w:rPr>
        <w:t>3) Maruziyet yolları</w:t>
      </w:r>
    </w:p>
    <w:p w14:paraId="79837F06" w14:textId="383A846B" w:rsidR="00267278" w:rsidRPr="00267278" w:rsidRDefault="00267278" w:rsidP="00267278">
      <w:pPr>
        <w:jc w:val="both"/>
        <w:rPr>
          <w:rFonts w:ascii="Times New Roman" w:hAnsi="Times New Roman" w:cs="Times New Roman"/>
        </w:rPr>
      </w:pPr>
      <w:r w:rsidRPr="00267278">
        <w:rPr>
          <w:rFonts w:ascii="Times New Roman" w:hAnsi="Times New Roman" w:cs="Times New Roman"/>
        </w:rPr>
        <w:t>İnhalasyon en kritik yoldur (akut ağır toksisite).</w:t>
      </w:r>
    </w:p>
    <w:p w14:paraId="39E3EDAA"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Deri/göz teması: sıvı form veya konsantre çözeltilerle kimyasal yanık.</w:t>
      </w:r>
    </w:p>
    <w:p w14:paraId="345026C4"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Oral alım: özellikle “amonyaklı temizlik ürünleri” ile korozif GİS hasarı riski.</w:t>
      </w:r>
    </w:p>
    <w:p w14:paraId="5441E069" w14:textId="7B05E5E7" w:rsidR="00267278" w:rsidRPr="00267278" w:rsidRDefault="00267278" w:rsidP="00267278">
      <w:pPr>
        <w:jc w:val="both"/>
        <w:rPr>
          <w:rFonts w:ascii="Times New Roman" w:hAnsi="Times New Roman" w:cs="Times New Roman"/>
        </w:rPr>
      </w:pPr>
      <w:r w:rsidRPr="000853E3">
        <w:rPr>
          <w:rFonts w:ascii="Times New Roman" w:hAnsi="Times New Roman" w:cs="Times New Roman"/>
          <w:b/>
          <w:bCs/>
        </w:rPr>
        <w:t>4) Toksikokinetik</w:t>
      </w:r>
      <w:r w:rsidRPr="00267278">
        <w:rPr>
          <w:rFonts w:ascii="Times New Roman" w:hAnsi="Times New Roman" w:cs="Times New Roman"/>
        </w:rPr>
        <w:t xml:space="preserve"> </w:t>
      </w:r>
    </w:p>
    <w:p w14:paraId="20CAFF2F"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“Dış kaynaklı amonyak” toksisitesinde klinik tablo çoğunlukla lokal kaustik/irritan hasar üzerinden şekillenir (özellikle solunum yolu ve göz).</w:t>
      </w:r>
    </w:p>
    <w:p w14:paraId="41184E03"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Not: Bu konu hiperammonemi (karaciğer yetmezliği vb.) ile karıştırılmamalıdır; burada esas mesele “korozif inhalasyon/temas” toksisitesidir.</w:t>
      </w:r>
    </w:p>
    <w:p w14:paraId="2712607B" w14:textId="77777777" w:rsidR="00267278" w:rsidRPr="000853E3" w:rsidRDefault="00267278" w:rsidP="00267278">
      <w:pPr>
        <w:jc w:val="both"/>
        <w:rPr>
          <w:rFonts w:ascii="Times New Roman" w:hAnsi="Times New Roman" w:cs="Times New Roman"/>
          <w:b/>
          <w:bCs/>
        </w:rPr>
      </w:pPr>
      <w:r w:rsidRPr="000853E3">
        <w:rPr>
          <w:rFonts w:ascii="Times New Roman" w:hAnsi="Times New Roman" w:cs="Times New Roman"/>
          <w:b/>
          <w:bCs/>
        </w:rPr>
        <w:t>5) Toksisite mekanizması</w:t>
      </w:r>
    </w:p>
    <w:p w14:paraId="76144A06"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Amonyak suyla hızla etkileşip bazik/kaustik bir ortam oluşturur → protein denatürasyonu, mukozal hasar, ödem.</w:t>
      </w:r>
    </w:p>
    <w:p w14:paraId="65B9AAE6"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Solunum yolunda: nazofarenks/trakea yanıkları, bronşioler-alveoler ödem, ciddi olguda hava yolu destrüksiyonu ve solunum yetmezliği.</w:t>
      </w:r>
    </w:p>
    <w:p w14:paraId="4B3E5CF9" w14:textId="77777777" w:rsidR="00267278" w:rsidRPr="000853E3" w:rsidRDefault="00267278" w:rsidP="00267278">
      <w:pPr>
        <w:jc w:val="both"/>
        <w:rPr>
          <w:rFonts w:ascii="Times New Roman" w:hAnsi="Times New Roman" w:cs="Times New Roman"/>
          <w:b/>
          <w:bCs/>
        </w:rPr>
      </w:pPr>
      <w:r w:rsidRPr="000853E3">
        <w:rPr>
          <w:rFonts w:ascii="Times New Roman" w:hAnsi="Times New Roman" w:cs="Times New Roman"/>
          <w:b/>
          <w:bCs/>
        </w:rPr>
        <w:t>6) Klinik bulgular</w:t>
      </w:r>
    </w:p>
    <w:p w14:paraId="2EF72439"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Akut inhalasyon</w:t>
      </w:r>
    </w:p>
    <w:p w14:paraId="50B78085"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Erken: göz–burun–boğaz irritasyonu, öksürük, dispne, wheezing/bronko­spazm</w:t>
      </w:r>
    </w:p>
    <w:p w14:paraId="3107AC9F"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Ağır: laringeal ödem/üst hava yolu tıkanması, pulmoner ödem, hipoksemi, solunum yetmezliği</w:t>
      </w:r>
    </w:p>
    <w:p w14:paraId="64ED78B6"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lastRenderedPageBreak/>
        <w:t>Deri/göz</w:t>
      </w:r>
    </w:p>
    <w:p w14:paraId="096C3583"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Konjonktivit, yoğun lakrimasyon; konsantre maruziyette korneal hasar</w:t>
      </w:r>
    </w:p>
    <w:p w14:paraId="146F13C7"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Deride irritasyon–yanık (özellikle sıvı amonyak)</w:t>
      </w:r>
    </w:p>
    <w:p w14:paraId="01CB7C6D" w14:textId="77777777" w:rsidR="00267278" w:rsidRPr="00267278" w:rsidRDefault="00267278" w:rsidP="00267278">
      <w:pPr>
        <w:jc w:val="both"/>
        <w:rPr>
          <w:rFonts w:ascii="Times New Roman" w:hAnsi="Times New Roman" w:cs="Times New Roman"/>
        </w:rPr>
      </w:pPr>
      <w:r w:rsidRPr="00267278">
        <w:rPr>
          <w:rFonts w:ascii="Times New Roman" w:hAnsi="Times New Roman" w:cs="Times New Roman"/>
        </w:rPr>
        <w:t>Kronik/tekrarlayan maruziyet</w:t>
      </w:r>
    </w:p>
    <w:p w14:paraId="690C050D" w14:textId="77777777" w:rsidR="00267278" w:rsidRDefault="00267278" w:rsidP="00267278">
      <w:pPr>
        <w:jc w:val="both"/>
        <w:rPr>
          <w:rFonts w:ascii="Times New Roman" w:hAnsi="Times New Roman" w:cs="Times New Roman"/>
        </w:rPr>
      </w:pPr>
      <w:r w:rsidRPr="00267278">
        <w:rPr>
          <w:rFonts w:ascii="Times New Roman" w:hAnsi="Times New Roman" w:cs="Times New Roman"/>
        </w:rPr>
        <w:t>Kronik irritasyon, bronşit; bazı ağır inhalasyon öykülerinden sonra kalıcı obstrüksiyon, bronşiolit obliterans/bronşektazi gibi sekeller bildirilebilir.</w:t>
      </w:r>
    </w:p>
    <w:p w14:paraId="5640E30A" w14:textId="77777777" w:rsidR="008E5FBD" w:rsidRPr="000853E3" w:rsidRDefault="008E5FBD" w:rsidP="008E5FBD">
      <w:pPr>
        <w:jc w:val="both"/>
        <w:rPr>
          <w:rFonts w:ascii="Times New Roman" w:hAnsi="Times New Roman" w:cs="Times New Roman"/>
          <w:b/>
          <w:bCs/>
        </w:rPr>
      </w:pPr>
      <w:r w:rsidRPr="000853E3">
        <w:rPr>
          <w:rFonts w:ascii="Times New Roman" w:hAnsi="Times New Roman" w:cs="Times New Roman"/>
          <w:b/>
          <w:bCs/>
        </w:rPr>
        <w:t>Zehirlenme Belirtileri</w:t>
      </w:r>
    </w:p>
    <w:p w14:paraId="1252D259" w14:textId="77777777" w:rsidR="008E5FBD" w:rsidRPr="008E5FBD" w:rsidRDefault="008E5FBD" w:rsidP="008E5FBD">
      <w:pPr>
        <w:jc w:val="both"/>
        <w:rPr>
          <w:rFonts w:ascii="Times New Roman" w:hAnsi="Times New Roman" w:cs="Times New Roman"/>
        </w:rPr>
      </w:pPr>
      <w:r w:rsidRPr="008E5FBD">
        <w:rPr>
          <w:rFonts w:ascii="Times New Roman" w:hAnsi="Times New Roman" w:cs="Times New Roman"/>
        </w:rPr>
        <w:t>Amonyakla akut zehirlenmede hapşırma, tükrük artması, boğazda ağrı, glottisteki spazm nedeniyle boğulma hissi görülür. Sıvı amonyak ikinci derecede yanıklar oluşturur. Korozif etki şiddetli değildir, fakat deride kızarıklık, eritem ve kabarmalar olur. Gözlerde şiddetli yaşarma ve konjonktivit görülür. Oral yoldan alımda temas yerlerinde yumuşama görülür. Amonyakla kronik zehirlenmede üst solunum yolunda kronik irritasyon ve bronşit görülür.</w:t>
      </w:r>
    </w:p>
    <w:p w14:paraId="08EAE826" w14:textId="77777777" w:rsidR="008E5FBD" w:rsidRPr="000853E3" w:rsidRDefault="008E5FBD" w:rsidP="008E5FBD">
      <w:pPr>
        <w:jc w:val="both"/>
        <w:rPr>
          <w:rFonts w:ascii="Times New Roman" w:hAnsi="Times New Roman" w:cs="Times New Roman"/>
          <w:b/>
          <w:bCs/>
        </w:rPr>
      </w:pPr>
      <w:r w:rsidRPr="000853E3">
        <w:rPr>
          <w:rFonts w:ascii="Times New Roman" w:hAnsi="Times New Roman" w:cs="Times New Roman"/>
          <w:b/>
          <w:bCs/>
        </w:rPr>
        <w:t>Zehirlenme Tedavisi</w:t>
      </w:r>
    </w:p>
    <w:p w14:paraId="36F67C51" w14:textId="36D8AB09" w:rsidR="008E5FBD" w:rsidRPr="00267278" w:rsidRDefault="008E5FBD" w:rsidP="008E5FBD">
      <w:pPr>
        <w:jc w:val="both"/>
        <w:rPr>
          <w:rFonts w:ascii="Times New Roman" w:hAnsi="Times New Roman" w:cs="Times New Roman"/>
        </w:rPr>
      </w:pPr>
      <w:r w:rsidRPr="008E5FBD">
        <w:rPr>
          <w:rFonts w:ascii="Times New Roman" w:hAnsi="Times New Roman" w:cs="Times New Roman"/>
        </w:rPr>
        <w:t xml:space="preserve">Kusturma yapılmaz, mide yıkanmaz. Oral alındığında limon suyu veya hafif asitlerle nötralize edilir. Deri, seyreltik asitli su ile yıkanır. Göze temas ettiğinde, göz </w:t>
      </w:r>
      <w:proofErr w:type="gramStart"/>
      <w:r w:rsidRPr="008E5FBD">
        <w:rPr>
          <w:rFonts w:ascii="Times New Roman" w:hAnsi="Times New Roman" w:cs="Times New Roman"/>
        </w:rPr>
        <w:t>% 5</w:t>
      </w:r>
      <w:proofErr w:type="gramEnd"/>
      <w:r w:rsidRPr="008E5FBD">
        <w:rPr>
          <w:rFonts w:ascii="Times New Roman" w:hAnsi="Times New Roman" w:cs="Times New Roman"/>
        </w:rPr>
        <w:t>'lik borik asitle yıkanır. Semptomatik tedavi uygulanır.</w:t>
      </w:r>
    </w:p>
    <w:p w14:paraId="0CDA162C" w14:textId="11970030" w:rsidR="00486B13" w:rsidRPr="00486B13" w:rsidRDefault="00486B13" w:rsidP="00EB7EBC">
      <w:pPr>
        <w:jc w:val="both"/>
        <w:rPr>
          <w:rFonts w:ascii="Times New Roman" w:hAnsi="Times New Roman" w:cs="Times New Roman"/>
          <w:b/>
          <w:bCs/>
          <w:u w:val="single"/>
        </w:rPr>
      </w:pPr>
      <w:r w:rsidRPr="00486B13">
        <w:rPr>
          <w:rFonts w:ascii="Times New Roman" w:hAnsi="Times New Roman" w:cs="Times New Roman"/>
          <w:b/>
          <w:bCs/>
        </w:rPr>
        <w:t>U</w:t>
      </w:r>
      <w:r w:rsidR="00120089">
        <w:rPr>
          <w:rFonts w:ascii="Times New Roman" w:hAnsi="Times New Roman" w:cs="Times New Roman"/>
          <w:b/>
          <w:bCs/>
        </w:rPr>
        <w:t>Ç</w:t>
      </w:r>
      <w:r w:rsidRPr="00486B13">
        <w:rPr>
          <w:rFonts w:ascii="Times New Roman" w:hAnsi="Times New Roman" w:cs="Times New Roman"/>
          <w:b/>
          <w:bCs/>
        </w:rPr>
        <w:t>UCU MADDELERİN LABO</w:t>
      </w:r>
      <w:r w:rsidR="00120089">
        <w:rPr>
          <w:rFonts w:ascii="Times New Roman" w:hAnsi="Times New Roman" w:cs="Times New Roman"/>
          <w:b/>
          <w:bCs/>
        </w:rPr>
        <w:t>R</w:t>
      </w:r>
      <w:r w:rsidRPr="00486B13">
        <w:rPr>
          <w:rFonts w:ascii="Times New Roman" w:hAnsi="Times New Roman" w:cs="Times New Roman"/>
          <w:b/>
          <w:bCs/>
        </w:rPr>
        <w:t>ATUVARDA ANALİZİ:</w:t>
      </w:r>
    </w:p>
    <w:p w14:paraId="1351F512"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Tanım: Oda/inkübasyon sıcaklığında kolay buharlaşan maddeler → “baş boşluğu” (headspace) ile kolay ayrılır.</w:t>
      </w:r>
    </w:p>
    <w:p w14:paraId="4A338044"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Örnekler (tipik): Etanol ve diğer uçucu alkoller/çözücüler, bazı solventler (kloroform vb.), ketonlar (aseton).</w:t>
      </w:r>
    </w:p>
    <w:p w14:paraId="34CC8A8B"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Uygun örnekler: Kan (özellikle etanol), idrar, doku/sıvılar.</w:t>
      </w:r>
    </w:p>
    <w:p w14:paraId="1D289C61" w14:textId="77777777" w:rsidR="00AE45A9" w:rsidRDefault="00AE45A9" w:rsidP="00AE45A9">
      <w:pPr>
        <w:jc w:val="both"/>
        <w:rPr>
          <w:rFonts w:ascii="Times New Roman" w:hAnsi="Times New Roman" w:cs="Times New Roman"/>
        </w:rPr>
      </w:pPr>
      <w:r w:rsidRPr="00AE45A9">
        <w:rPr>
          <w:rFonts w:ascii="Times New Roman" w:hAnsi="Times New Roman" w:cs="Times New Roman"/>
        </w:rPr>
        <w:t>Uçucu zehirler, biyolojik örneklerden genellikle distilasyon veya mikrodifüzyon yöntemleriyle izole edilir.</w:t>
      </w:r>
    </w:p>
    <w:p w14:paraId="4761B3D8" w14:textId="13D16C67" w:rsidR="00AE45A9" w:rsidRPr="00AE45A9" w:rsidRDefault="00AE45A9" w:rsidP="00AE45A9">
      <w:pPr>
        <w:jc w:val="both"/>
        <w:rPr>
          <w:rFonts w:ascii="Times New Roman" w:hAnsi="Times New Roman" w:cs="Times New Roman"/>
          <w:b/>
          <w:bCs/>
        </w:rPr>
      </w:pPr>
      <w:r w:rsidRPr="00AE45A9">
        <w:rPr>
          <w:rFonts w:ascii="Times New Roman" w:hAnsi="Times New Roman" w:cs="Times New Roman"/>
          <w:b/>
          <w:bCs/>
        </w:rPr>
        <w:t xml:space="preserve"> </w:t>
      </w:r>
      <w:r w:rsidR="00924093">
        <w:rPr>
          <w:rFonts w:ascii="Times New Roman" w:hAnsi="Times New Roman" w:cs="Times New Roman"/>
          <w:b/>
          <w:bCs/>
        </w:rPr>
        <w:t>a.</w:t>
      </w:r>
      <w:r w:rsidR="004C3DC3">
        <w:rPr>
          <w:rFonts w:ascii="Times New Roman" w:hAnsi="Times New Roman" w:cs="Times New Roman"/>
          <w:b/>
          <w:bCs/>
        </w:rPr>
        <w:t xml:space="preserve"> </w:t>
      </w:r>
      <w:r w:rsidRPr="00AE45A9">
        <w:rPr>
          <w:rFonts w:ascii="Times New Roman" w:hAnsi="Times New Roman" w:cs="Times New Roman"/>
          <w:b/>
          <w:bCs/>
        </w:rPr>
        <w:t>Distilasyon yöntemi</w:t>
      </w:r>
    </w:p>
    <w:p w14:paraId="3632CAAD" w14:textId="77777777" w:rsidR="00924093" w:rsidRDefault="00AE45A9" w:rsidP="00AE45A9">
      <w:pPr>
        <w:jc w:val="both"/>
        <w:rPr>
          <w:rFonts w:ascii="Times New Roman" w:hAnsi="Times New Roman" w:cs="Times New Roman"/>
        </w:rPr>
      </w:pPr>
      <w:r w:rsidRPr="00AE45A9">
        <w:rPr>
          <w:rFonts w:ascii="Times New Roman" w:hAnsi="Times New Roman" w:cs="Times New Roman"/>
        </w:rPr>
        <w:t xml:space="preserve">Distilasyon; sıvı bir örneğin kaynama noktasına kadar ısıtılarak buharlaştırılması, oluşan buharın yoğunlaştırılıp ayrı bir kapta distilat olarak toplanması esasına dayanır. Kaynama noktası 100 °C’nin altında olan uçucu maddeler çoğunlukla normal distilasyon ile; su buharıyla taşınabilen (sürüklenebilen) bileşikler ise su buharı distilasyonu ile izole edilir. </w:t>
      </w:r>
    </w:p>
    <w:p w14:paraId="18A67508"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t>Su buharı distilasyonunda, izole edilecek maddenin kimyasal karakterine göre örneğin pH’sı ayarlanarak sürüklenme kolaylaştırılır: nötral/asidik özellikte olanlar asitlendirilmiş ortamdan, bazik özellikte olanlar ise alkalileştirilmiş (kalevilendirilmiş) ortamdan daha etkin şekilde su buharıyla taşınır. Bu nedenle su buharıyla sürüklenen zehirler distilasyon ortamına göre iki grupta ele alınır:</w:t>
      </w:r>
    </w:p>
    <w:p w14:paraId="0A648082" w14:textId="688391D0" w:rsidR="00AE45A9" w:rsidRPr="00924093" w:rsidRDefault="00AE45A9" w:rsidP="00AE45A9">
      <w:pPr>
        <w:jc w:val="both"/>
        <w:rPr>
          <w:rFonts w:ascii="Times New Roman" w:hAnsi="Times New Roman" w:cs="Times New Roman"/>
          <w:u w:val="single"/>
        </w:rPr>
      </w:pPr>
      <w:r w:rsidRPr="00AE45A9">
        <w:rPr>
          <w:rFonts w:ascii="Times New Roman" w:hAnsi="Times New Roman" w:cs="Times New Roman"/>
        </w:rPr>
        <w:t xml:space="preserve"> </w:t>
      </w:r>
      <w:r w:rsidRPr="00924093">
        <w:rPr>
          <w:rFonts w:ascii="Times New Roman" w:hAnsi="Times New Roman" w:cs="Times New Roman"/>
          <w:u w:val="single"/>
        </w:rPr>
        <w:t>1.Asit ortamda su buharı ile sürüklenen zehirler</w:t>
      </w:r>
    </w:p>
    <w:p w14:paraId="194E52F8" w14:textId="77777777" w:rsidR="00AE45A9" w:rsidRPr="00AE45A9" w:rsidRDefault="00AE45A9" w:rsidP="00AE45A9">
      <w:pPr>
        <w:jc w:val="both"/>
        <w:rPr>
          <w:rFonts w:ascii="Times New Roman" w:hAnsi="Times New Roman" w:cs="Times New Roman"/>
        </w:rPr>
      </w:pPr>
      <w:r w:rsidRPr="00AE45A9">
        <w:rPr>
          <w:rFonts w:ascii="Times New Roman" w:hAnsi="Times New Roman" w:cs="Times New Roman"/>
        </w:rPr>
        <w:lastRenderedPageBreak/>
        <w:t>Örnek asidik ise önce doymuş bikarbonat çözeltisi ile nötralize edilir; ardından %10 tartarik asit veya seyreltilmiş H₂SO₄ ile pH ~5 olacak şekilde asitlendirilir. Bu gruba asetilsalisilik asit, salisilik asit esterleri, p-aminosalisilik asit gibi bileşikler örnek verilebilir.</w:t>
      </w:r>
    </w:p>
    <w:p w14:paraId="43B16B38" w14:textId="21F5F971" w:rsidR="00AE45A9" w:rsidRPr="00924093" w:rsidRDefault="00AE45A9" w:rsidP="00AE45A9">
      <w:pPr>
        <w:jc w:val="both"/>
        <w:rPr>
          <w:rFonts w:ascii="Times New Roman" w:hAnsi="Times New Roman" w:cs="Times New Roman"/>
          <w:u w:val="single"/>
        </w:rPr>
      </w:pPr>
      <w:r w:rsidRPr="00924093">
        <w:rPr>
          <w:rFonts w:ascii="Times New Roman" w:hAnsi="Times New Roman" w:cs="Times New Roman"/>
          <w:u w:val="single"/>
        </w:rPr>
        <w:t>2. Alkali ortamda su buharı ile sürüklenen zehirler</w:t>
      </w:r>
    </w:p>
    <w:p w14:paraId="57FCB557" w14:textId="15C813B0" w:rsidR="00AE45A9" w:rsidRDefault="00AE45A9" w:rsidP="00AE45A9">
      <w:pPr>
        <w:jc w:val="both"/>
        <w:rPr>
          <w:rFonts w:ascii="Times New Roman" w:hAnsi="Times New Roman" w:cs="Times New Roman"/>
          <w:b/>
          <w:bCs/>
        </w:rPr>
      </w:pPr>
      <w:r w:rsidRPr="00AE45A9">
        <w:rPr>
          <w:rFonts w:ascii="Times New Roman" w:hAnsi="Times New Roman" w:cs="Times New Roman"/>
        </w:rPr>
        <w:t xml:space="preserve">Örnek, seyreltilmiş NaOH veya katı MgO ile alkalileştirilerek pH ~8 düzeyine getirilir. Anilin, amfetamin, kloroform, nikotin gibi bazı maddeler bu koşullarda su buharıyla daha kolay </w:t>
      </w:r>
      <w:r w:rsidR="00486B13" w:rsidRPr="00AE45A9">
        <w:rPr>
          <w:rFonts w:ascii="Times New Roman" w:hAnsi="Times New Roman" w:cs="Times New Roman"/>
        </w:rPr>
        <w:t>sürüklenir. Uçucu</w:t>
      </w:r>
      <w:r w:rsidRPr="00AE45A9">
        <w:rPr>
          <w:rFonts w:ascii="Times New Roman" w:hAnsi="Times New Roman" w:cs="Times New Roman"/>
        </w:rPr>
        <w:t xml:space="preserve"> zehirler biyolojik materyalden ayrıldıktan sonra, ön tanı amacıyla distilatın kokusu, genel görünümü ve pH’sı değerlendirilir. Ardından spesifik reaktiflerle ön testler yapılır; bazı maddeler için kromotropik asit deneyi, iyodoform reaksiyonu gibi özel tanı reaksiyonları uygulanabilir</w:t>
      </w:r>
      <w:r w:rsidRPr="00AE45A9">
        <w:rPr>
          <w:rFonts w:ascii="Times New Roman" w:hAnsi="Times New Roman" w:cs="Times New Roman"/>
          <w:b/>
          <w:bCs/>
        </w:rPr>
        <w:t>.</w:t>
      </w:r>
    </w:p>
    <w:p w14:paraId="6255DB28" w14:textId="77777777" w:rsidR="00924093" w:rsidRPr="00924093" w:rsidRDefault="00924093" w:rsidP="00924093">
      <w:pPr>
        <w:jc w:val="both"/>
        <w:rPr>
          <w:rFonts w:ascii="Times New Roman" w:hAnsi="Times New Roman" w:cs="Times New Roman"/>
          <w:b/>
          <w:bCs/>
        </w:rPr>
      </w:pPr>
      <w:r w:rsidRPr="00924093">
        <w:rPr>
          <w:rFonts w:ascii="Times New Roman" w:hAnsi="Times New Roman" w:cs="Times New Roman"/>
          <w:b/>
          <w:bCs/>
        </w:rPr>
        <w:t>b) Mikrodifüzyon</w:t>
      </w:r>
    </w:p>
    <w:p w14:paraId="3B044EB5" w14:textId="77777777" w:rsidR="00924093" w:rsidRPr="00924093" w:rsidRDefault="00924093" w:rsidP="00924093">
      <w:pPr>
        <w:jc w:val="both"/>
        <w:rPr>
          <w:rFonts w:ascii="Times New Roman" w:hAnsi="Times New Roman" w:cs="Times New Roman"/>
        </w:rPr>
      </w:pPr>
      <w:r w:rsidRPr="00924093">
        <w:rPr>
          <w:rFonts w:ascii="Times New Roman" w:hAnsi="Times New Roman" w:cs="Times New Roman"/>
        </w:rPr>
        <w:t>Mikrodifüzyon; dokularda düşük düzeylerde bulunan uçucu zehirlerin izolasyonu ve saptanması amacıyla Conway mikrodifüzyon apareyi kullanılarak uygulanan bir yöntemdir. Bu teknik, bazı önemli uçucu maddelerin nitel (kalitatif) ve nicel (kantitatif) tayininde kullanılabilmektedir.</w:t>
      </w:r>
    </w:p>
    <w:p w14:paraId="50D0FDBC" w14:textId="019AB799" w:rsidR="00803DAB" w:rsidRDefault="00395408" w:rsidP="00924093">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08B87A58" wp14:editId="12F653D0">
            <wp:simplePos x="0" y="0"/>
            <wp:positionH relativeFrom="column">
              <wp:posOffset>3592072</wp:posOffset>
            </wp:positionH>
            <wp:positionV relativeFrom="paragraph">
              <wp:posOffset>681429</wp:posOffset>
            </wp:positionV>
            <wp:extent cx="2575560" cy="2413635"/>
            <wp:effectExtent l="0" t="0" r="0" b="5715"/>
            <wp:wrapTopAndBottom/>
            <wp:docPr id="23006918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5560" cy="241363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80768" behindDoc="0" locked="0" layoutInCell="1" allowOverlap="1" wp14:anchorId="71135791" wp14:editId="173D4B86">
            <wp:simplePos x="0" y="0"/>
            <wp:positionH relativeFrom="column">
              <wp:posOffset>-69788</wp:posOffset>
            </wp:positionH>
            <wp:positionV relativeFrom="paragraph">
              <wp:posOffset>485940</wp:posOffset>
            </wp:positionV>
            <wp:extent cx="3340735" cy="2794000"/>
            <wp:effectExtent l="0" t="0" r="0" b="6350"/>
            <wp:wrapTopAndBottom/>
            <wp:docPr id="1425752004" name="Resim 8" descr="daire, sofra takımı, tabak çana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52004" name="Resim 8" descr="daire, sofra takımı, tabak çanak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2794000"/>
                    </a:xfrm>
                    <a:prstGeom prst="rect">
                      <a:avLst/>
                    </a:prstGeom>
                    <a:noFill/>
                  </pic:spPr>
                </pic:pic>
              </a:graphicData>
            </a:graphic>
            <wp14:sizeRelV relativeFrom="margin">
              <wp14:pctHeight>0</wp14:pctHeight>
            </wp14:sizeRelV>
          </wp:anchor>
        </w:drawing>
      </w:r>
      <w:r w:rsidR="00924093" w:rsidRPr="00924093">
        <w:rPr>
          <w:rFonts w:ascii="Times New Roman" w:hAnsi="Times New Roman" w:cs="Times New Roman"/>
        </w:rPr>
        <w:t>Conway mikrodifüzyon apareyi, cam veya porselenden yapılmış petri kutusuna benzer bir düzeneğe sahiptir ve iç ve dış olmak üzere iki odacıktan oluşur.</w:t>
      </w:r>
    </w:p>
    <w:p w14:paraId="7F72413B" w14:textId="093E9D95" w:rsidR="004C3DC3" w:rsidRPr="004C3DC3" w:rsidRDefault="00395408" w:rsidP="004C3DC3">
      <w:pPr>
        <w:jc w:val="both"/>
        <w:rPr>
          <w:rFonts w:ascii="Times New Roman" w:hAnsi="Times New Roman" w:cs="Times New Roman"/>
          <w:i/>
          <w:iCs/>
          <w:sz w:val="20"/>
          <w:szCs w:val="20"/>
        </w:rPr>
      </w:pPr>
      <w:r>
        <w:rPr>
          <w:rFonts w:ascii="Times New Roman" w:hAnsi="Times New Roman" w:cs="Times New Roman"/>
        </w:rPr>
        <w:t xml:space="preserve">                     </w:t>
      </w:r>
      <w:r w:rsidRPr="00395408">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r w:rsidRPr="00395408">
        <w:rPr>
          <w:rFonts w:ascii="Times New Roman" w:hAnsi="Times New Roman" w:cs="Times New Roman"/>
          <w:i/>
          <w:iCs/>
          <w:sz w:val="20"/>
          <w:szCs w:val="20"/>
        </w:rPr>
        <w:t xml:space="preserve">  Şekil 1: Conway Mikrodifüzyon apareyinin üstten görünüşü.             </w:t>
      </w:r>
    </w:p>
    <w:p w14:paraId="43A08E71" w14:textId="51C5AA47" w:rsidR="00803DAB" w:rsidRPr="004C3DC3" w:rsidRDefault="009D0D18" w:rsidP="00924093">
      <w:pPr>
        <w:jc w:val="both"/>
        <w:rPr>
          <w:rFonts w:ascii="Times New Roman" w:hAnsi="Times New Roman" w:cs="Times New Roman"/>
          <w:i/>
          <w:iCs/>
          <w:sz w:val="22"/>
          <w:szCs w:val="22"/>
        </w:rPr>
      </w:pPr>
      <w:r>
        <w:rPr>
          <w:rFonts w:ascii="Times New Roman" w:hAnsi="Times New Roman" w:cs="Times New Roman"/>
        </w:rPr>
        <w:t xml:space="preserve">                   </w:t>
      </w:r>
      <w:r w:rsidRPr="004C3DC3">
        <w:rPr>
          <w:rFonts w:ascii="Times New Roman" w:hAnsi="Times New Roman" w:cs="Times New Roman"/>
          <w:i/>
          <w:iCs/>
          <w:sz w:val="22"/>
          <w:szCs w:val="22"/>
        </w:rPr>
        <w:t xml:space="preserve">                                            </w:t>
      </w:r>
    </w:p>
    <w:p w14:paraId="3E4DCAA3" w14:textId="53764F01" w:rsidR="00924093" w:rsidRDefault="00924093" w:rsidP="00924093">
      <w:pPr>
        <w:jc w:val="both"/>
        <w:rPr>
          <w:rFonts w:ascii="Times New Roman" w:hAnsi="Times New Roman" w:cs="Times New Roman"/>
        </w:rPr>
      </w:pPr>
      <w:r w:rsidRPr="00924093">
        <w:rPr>
          <w:rFonts w:ascii="Times New Roman" w:hAnsi="Times New Roman" w:cs="Times New Roman"/>
        </w:rPr>
        <w:t>Dış odacığa, analiz edilecek biyolojik örnek (yaklaşık 2–4 g kan, idrar veya ezilmiş organ örneği) ile uçucu bileşiği serbestleştiren reaktif (yaklaşık 1 mL) eklenir.</w:t>
      </w:r>
      <w:r w:rsidR="001663F2">
        <w:rPr>
          <w:rFonts w:ascii="Times New Roman" w:hAnsi="Times New Roman" w:cs="Times New Roman"/>
        </w:rPr>
        <w:t xml:space="preserve"> </w:t>
      </w:r>
      <w:r w:rsidRPr="00924093">
        <w:rPr>
          <w:rFonts w:ascii="Times New Roman" w:hAnsi="Times New Roman" w:cs="Times New Roman"/>
        </w:rPr>
        <w:t>İç odacığa ise serbest hale geçen uçucu zehri tutan/absorplayan bir çözücü (yaklaşık 2 mL) ve gerekiyorsa zehirle reaksiyona girerek renk oluşturan reaktif (yaklaşık 2 mL) konur.</w:t>
      </w:r>
      <w:r w:rsidR="001663F2">
        <w:rPr>
          <w:rFonts w:ascii="Times New Roman" w:hAnsi="Times New Roman" w:cs="Times New Roman"/>
        </w:rPr>
        <w:t xml:space="preserve"> </w:t>
      </w:r>
      <w:proofErr w:type="gramStart"/>
      <w:r w:rsidRPr="00924093">
        <w:rPr>
          <w:rFonts w:ascii="Times New Roman" w:hAnsi="Times New Roman" w:cs="Times New Roman"/>
        </w:rPr>
        <w:t>Aparey</w:t>
      </w:r>
      <w:proofErr w:type="gramEnd"/>
      <w:r w:rsidRPr="00924093">
        <w:rPr>
          <w:rFonts w:ascii="Times New Roman" w:hAnsi="Times New Roman" w:cs="Times New Roman"/>
        </w:rPr>
        <w:t xml:space="preserve">, buhar kaçışını engelleyen, özel traşlı kapağı ile sızdırmaz biçimde kapatılır. Uygulamada genellikle kan örnekleri oda sıcaklığında yaklaşık 2 saat, doku örnekleri ise 37 °C’de yaklaşık 3 saat bekletilir. Bu sürede buharlaşan veya gaz fazına geçen uçucu bileşik, odacıklar arasında difüzyona </w:t>
      </w:r>
      <w:r w:rsidRPr="00924093">
        <w:rPr>
          <w:rFonts w:ascii="Times New Roman" w:hAnsi="Times New Roman" w:cs="Times New Roman"/>
        </w:rPr>
        <w:lastRenderedPageBreak/>
        <w:t>uğrayarak iç odacıktaki absorban sıvıda çözünür. Sistem, biyolojik örnekteki uçucu madde tükenene kadar bu difüzyon süreciyle dengeyi sürdürür.</w:t>
      </w:r>
      <w:r w:rsidR="004C3DC3">
        <w:rPr>
          <w:rFonts w:ascii="Times New Roman" w:hAnsi="Times New Roman" w:cs="Times New Roman"/>
        </w:rPr>
        <w:t xml:space="preserve"> </w:t>
      </w:r>
      <w:r w:rsidRPr="004C3DC3">
        <w:rPr>
          <w:rFonts w:ascii="Times New Roman" w:hAnsi="Times New Roman" w:cs="Times New Roman"/>
        </w:rPr>
        <w:t>Sonuç olarak, iç odacığa konan reaktifin oluşturduğu karakteristik renk değişimi ile uçucu bileşik varlığı saptanabilir; ayrıca iç odacıktaki çözelti alınarak uygun yöntemlerle analitik ölçüm yapılabilir.</w:t>
      </w:r>
    </w:p>
    <w:p w14:paraId="66465DDB" w14:textId="77777777" w:rsidR="0013170D" w:rsidRPr="0013170D" w:rsidRDefault="0013170D" w:rsidP="0013170D">
      <w:pPr>
        <w:jc w:val="both"/>
        <w:rPr>
          <w:rFonts w:ascii="Times New Roman" w:hAnsi="Times New Roman" w:cs="Times New Roman"/>
          <w:b/>
          <w:bCs/>
        </w:rPr>
      </w:pPr>
      <w:r w:rsidRPr="0013170D">
        <w:rPr>
          <w:rFonts w:ascii="Times New Roman" w:hAnsi="Times New Roman" w:cs="Times New Roman"/>
          <w:b/>
          <w:bCs/>
        </w:rPr>
        <w:t>Uçucu Zehirlerin Mikrodifüzyon Tekniği ile Saptanması</w:t>
      </w:r>
    </w:p>
    <w:p w14:paraId="348B92BF" w14:textId="77777777" w:rsidR="0013170D" w:rsidRPr="0013170D" w:rsidRDefault="0013170D" w:rsidP="0013170D">
      <w:pPr>
        <w:jc w:val="both"/>
        <w:rPr>
          <w:rFonts w:ascii="Times New Roman" w:hAnsi="Times New Roman" w:cs="Times New Roman"/>
        </w:rPr>
      </w:pPr>
      <w:r w:rsidRPr="0013170D">
        <w:rPr>
          <w:rFonts w:ascii="Times New Roman" w:hAnsi="Times New Roman" w:cs="Times New Roman"/>
        </w:rPr>
        <w:t>I. İç odacık olarak kullanılacak Eppendorf tüp, dış odacık görevini görecek renksiz kavanozun içine yerleştirilir. Eppendorf içine 0,5 mL zehiri yakalayıcı (absorban) reaktif ve 0,5 mL renk reaktifi eklenir.</w:t>
      </w:r>
    </w:p>
    <w:p w14:paraId="69896A59" w14:textId="77777777" w:rsidR="0013170D" w:rsidRPr="0013170D" w:rsidRDefault="0013170D" w:rsidP="0013170D">
      <w:pPr>
        <w:jc w:val="both"/>
        <w:rPr>
          <w:rFonts w:ascii="Times New Roman" w:hAnsi="Times New Roman" w:cs="Times New Roman"/>
        </w:rPr>
      </w:pPr>
      <w:r w:rsidRPr="0013170D">
        <w:rPr>
          <w:rFonts w:ascii="Times New Roman" w:hAnsi="Times New Roman" w:cs="Times New Roman"/>
        </w:rPr>
        <w:t>II. Dış odacık olan kavanoza sırasıyla 0,5 mL zehiri serbestleştiren reaktif eklenir; ardından 0,5 mL biyolojik örnek ilave edilir ve kavanoz kapağı hemen sıkıca kapatılır.</w:t>
      </w:r>
    </w:p>
    <w:p w14:paraId="1BEE22FD" w14:textId="57C1C4AD" w:rsidR="0013170D" w:rsidRDefault="0013170D" w:rsidP="0013170D">
      <w:pPr>
        <w:jc w:val="both"/>
        <w:rPr>
          <w:rFonts w:ascii="Times New Roman" w:hAnsi="Times New Roman" w:cs="Times New Roman"/>
        </w:rPr>
      </w:pPr>
      <w:r w:rsidRPr="0013170D">
        <w:rPr>
          <w:rFonts w:ascii="Times New Roman" w:hAnsi="Times New Roman" w:cs="Times New Roman"/>
        </w:rPr>
        <w:t>III. İç odacıktaki sıvının taşarak dış odacığa karışmamasına özen gösterilir. Kapalı sistem 37°C su banyosunda 15 dakika bekletilir ve bu süre boyunca belirli aralıklarla renk oluşumu gözlenir/kontrol edilir.</w:t>
      </w:r>
    </w:p>
    <w:p w14:paraId="7829BCE5" w14:textId="77777777" w:rsidR="00E02436" w:rsidRPr="00E02436" w:rsidRDefault="00E02436" w:rsidP="00E02436">
      <w:pPr>
        <w:jc w:val="both"/>
        <w:rPr>
          <w:rFonts w:ascii="Times New Roman" w:hAnsi="Times New Roman" w:cs="Times New Roman"/>
        </w:rPr>
      </w:pPr>
      <w:r w:rsidRPr="00E02436">
        <w:rPr>
          <w:rFonts w:ascii="Times New Roman" w:hAnsi="Times New Roman" w:cs="Times New Roman"/>
        </w:rPr>
        <w:t>Amonyak / aminler (NH₄⁺ → NH₃): Dış odacık alkali yapılır.</w:t>
      </w:r>
    </w:p>
    <w:p w14:paraId="7440A1BD" w14:textId="77777777" w:rsidR="00E02436" w:rsidRPr="00E02436" w:rsidRDefault="00E02436" w:rsidP="00E02436">
      <w:pPr>
        <w:jc w:val="both"/>
        <w:rPr>
          <w:rFonts w:ascii="Times New Roman" w:hAnsi="Times New Roman" w:cs="Times New Roman"/>
        </w:rPr>
      </w:pPr>
      <w:r w:rsidRPr="00E02436">
        <w:rPr>
          <w:rFonts w:ascii="Times New Roman" w:hAnsi="Times New Roman" w:cs="Times New Roman"/>
        </w:rPr>
        <w:t>Tipik serbestleştirme reaktifleri: NaOH, K₂CO₃, bazen MgO (amaç: amonyumu NH₃’e çevirmek).</w:t>
      </w:r>
    </w:p>
    <w:p w14:paraId="34158FC8" w14:textId="77777777" w:rsidR="00E02436" w:rsidRPr="00E02436" w:rsidRDefault="00E02436" w:rsidP="00E02436">
      <w:pPr>
        <w:jc w:val="both"/>
        <w:rPr>
          <w:rFonts w:ascii="Times New Roman" w:hAnsi="Times New Roman" w:cs="Times New Roman"/>
        </w:rPr>
      </w:pPr>
      <w:r w:rsidRPr="00E02436">
        <w:rPr>
          <w:rFonts w:ascii="Times New Roman" w:hAnsi="Times New Roman" w:cs="Times New Roman"/>
        </w:rPr>
        <w:t>Siyanür (CN⁻ → HCN): Dış odacık asitlendirilir (amaç: HCN gazını oluşturmak). Uygulamalarda asitlendirme ile HCN’nin serbestleştiği açıkça belirtilir.</w:t>
      </w:r>
    </w:p>
    <w:p w14:paraId="518ED685" w14:textId="77777777" w:rsidR="00E02436" w:rsidRPr="00E02436" w:rsidRDefault="00E02436" w:rsidP="00E02436">
      <w:pPr>
        <w:jc w:val="both"/>
        <w:rPr>
          <w:rFonts w:ascii="Times New Roman" w:hAnsi="Times New Roman" w:cs="Times New Roman"/>
        </w:rPr>
      </w:pPr>
      <w:r w:rsidRPr="00E02436">
        <w:rPr>
          <w:rFonts w:ascii="Times New Roman" w:hAnsi="Times New Roman" w:cs="Times New Roman"/>
        </w:rPr>
        <w:t>Karbon monoksit (COHb → CO): Kanda CO’yu serbestleştirmek için dış odacığa asit eklenerek COHb’den CO ayrıştırılır (CO gazı iç odacığa difüze olur).</w:t>
      </w:r>
    </w:p>
    <w:p w14:paraId="16347905" w14:textId="2A252B42" w:rsidR="00E02436" w:rsidRPr="00E02436" w:rsidRDefault="00E02436" w:rsidP="00D27E96">
      <w:pPr>
        <w:pBdr>
          <w:top w:val="single" w:sz="18" w:space="1" w:color="auto"/>
          <w:left w:val="single" w:sz="18" w:space="4" w:color="auto"/>
          <w:bottom w:val="single" w:sz="18" w:space="1" w:color="auto"/>
          <w:right w:val="single" w:sz="18" w:space="4" w:color="auto"/>
        </w:pBdr>
        <w:jc w:val="both"/>
        <w:rPr>
          <w:rFonts w:ascii="Times New Roman" w:hAnsi="Times New Roman" w:cs="Times New Roman"/>
        </w:rPr>
      </w:pPr>
      <w:r w:rsidRPr="00E02436">
        <w:rPr>
          <w:rFonts w:ascii="Times New Roman" w:hAnsi="Times New Roman" w:cs="Times New Roman"/>
        </w:rPr>
        <w:t>Baz ekleniyorsa: Genelde uçucu baz</w:t>
      </w:r>
      <w:r w:rsidR="00082AC8">
        <w:rPr>
          <w:rFonts w:ascii="Times New Roman" w:hAnsi="Times New Roman" w:cs="Times New Roman"/>
        </w:rPr>
        <w:t>ın</w:t>
      </w:r>
      <w:r w:rsidRPr="00E02436">
        <w:rPr>
          <w:rFonts w:ascii="Times New Roman" w:hAnsi="Times New Roman" w:cs="Times New Roman"/>
        </w:rPr>
        <w:t xml:space="preserve"> (NH₃, bazı aminler) serbestleş</w:t>
      </w:r>
      <w:r w:rsidR="00082AC8">
        <w:rPr>
          <w:rFonts w:ascii="Times New Roman" w:hAnsi="Times New Roman" w:cs="Times New Roman"/>
        </w:rPr>
        <w:t>mesi için</w:t>
      </w:r>
    </w:p>
    <w:p w14:paraId="5133A1F7" w14:textId="3B69062E" w:rsidR="00E02436" w:rsidRDefault="00E02436" w:rsidP="00D27E96">
      <w:pPr>
        <w:pBdr>
          <w:top w:val="single" w:sz="18" w:space="1" w:color="auto"/>
          <w:left w:val="single" w:sz="18" w:space="4" w:color="auto"/>
          <w:bottom w:val="single" w:sz="18" w:space="1" w:color="auto"/>
          <w:right w:val="single" w:sz="18" w:space="4" w:color="auto"/>
        </w:pBdr>
        <w:jc w:val="both"/>
        <w:rPr>
          <w:rFonts w:ascii="Times New Roman" w:hAnsi="Times New Roman" w:cs="Times New Roman"/>
        </w:rPr>
      </w:pPr>
      <w:r w:rsidRPr="00E02436">
        <w:rPr>
          <w:rFonts w:ascii="Times New Roman" w:hAnsi="Times New Roman" w:cs="Times New Roman"/>
        </w:rPr>
        <w:t>Asit ekleniyorsa: Genelde uçucu asit/gaz</w:t>
      </w:r>
      <w:r w:rsidR="00082AC8">
        <w:rPr>
          <w:rFonts w:ascii="Times New Roman" w:hAnsi="Times New Roman" w:cs="Times New Roman"/>
        </w:rPr>
        <w:t>ın</w:t>
      </w:r>
      <w:r w:rsidRPr="00E02436">
        <w:rPr>
          <w:rFonts w:ascii="Times New Roman" w:hAnsi="Times New Roman" w:cs="Times New Roman"/>
        </w:rPr>
        <w:t xml:space="preserve"> (HCN, CO gibi) serbestleş</w:t>
      </w:r>
      <w:r w:rsidR="00082AC8">
        <w:rPr>
          <w:rFonts w:ascii="Times New Roman" w:hAnsi="Times New Roman" w:cs="Times New Roman"/>
        </w:rPr>
        <w:t>mesi için</w:t>
      </w:r>
    </w:p>
    <w:p w14:paraId="04968926" w14:textId="77777777" w:rsidR="00DB51BA" w:rsidRDefault="00DB51BA" w:rsidP="00DB51BA">
      <w:pPr>
        <w:pStyle w:val="Balk3"/>
        <w:spacing w:before="76"/>
        <w:ind w:left="1009"/>
        <w:rPr>
          <w:rFonts w:ascii="Times New Roman" w:hAnsi="Times New Roman" w:cs="Times New Roman"/>
          <w:b/>
          <w:bCs/>
          <w:color w:val="000000" w:themeColor="text1"/>
          <w:sz w:val="24"/>
          <w:szCs w:val="24"/>
        </w:rPr>
      </w:pPr>
    </w:p>
    <w:p w14:paraId="7EA462B8" w14:textId="56DD586F" w:rsidR="00DB51BA" w:rsidRPr="00DB51BA" w:rsidRDefault="00DB51BA" w:rsidP="00DB51BA">
      <w:pPr>
        <w:pStyle w:val="Balk3"/>
        <w:spacing w:before="76"/>
        <w:ind w:left="1009"/>
        <w:rPr>
          <w:rFonts w:ascii="Times New Roman" w:hAnsi="Times New Roman" w:cs="Times New Roman"/>
          <w:b/>
          <w:bCs/>
          <w:color w:val="000000" w:themeColor="text1"/>
          <w:sz w:val="24"/>
          <w:szCs w:val="24"/>
        </w:rPr>
      </w:pPr>
      <w:r w:rsidRPr="00DB51BA">
        <w:rPr>
          <w:rFonts w:ascii="Times New Roman" w:hAnsi="Times New Roman" w:cs="Times New Roman"/>
          <w:b/>
          <w:bCs/>
          <w:color w:val="000000" w:themeColor="text1"/>
          <w:sz w:val="24"/>
          <w:szCs w:val="24"/>
        </w:rPr>
        <w:t>UÇUCU</w:t>
      </w:r>
      <w:r w:rsidRPr="00DB51BA">
        <w:rPr>
          <w:rFonts w:ascii="Times New Roman" w:hAnsi="Times New Roman" w:cs="Times New Roman"/>
          <w:b/>
          <w:bCs/>
          <w:color w:val="000000" w:themeColor="text1"/>
          <w:spacing w:val="-6"/>
          <w:sz w:val="24"/>
          <w:szCs w:val="24"/>
        </w:rPr>
        <w:t xml:space="preserve"> </w:t>
      </w:r>
      <w:r w:rsidRPr="00DB51BA">
        <w:rPr>
          <w:rFonts w:ascii="Times New Roman" w:hAnsi="Times New Roman" w:cs="Times New Roman"/>
          <w:b/>
          <w:bCs/>
          <w:color w:val="000000" w:themeColor="text1"/>
          <w:sz w:val="24"/>
          <w:szCs w:val="24"/>
        </w:rPr>
        <w:t>ZEHİRLERİN</w:t>
      </w:r>
      <w:r w:rsidRPr="00DB51BA">
        <w:rPr>
          <w:rFonts w:ascii="Times New Roman" w:hAnsi="Times New Roman" w:cs="Times New Roman"/>
          <w:b/>
          <w:bCs/>
          <w:color w:val="000000" w:themeColor="text1"/>
          <w:spacing w:val="-6"/>
          <w:sz w:val="24"/>
          <w:szCs w:val="24"/>
        </w:rPr>
        <w:t xml:space="preserve"> </w:t>
      </w:r>
      <w:r w:rsidRPr="00DB51BA">
        <w:rPr>
          <w:rFonts w:ascii="Times New Roman" w:hAnsi="Times New Roman" w:cs="Times New Roman"/>
          <w:b/>
          <w:bCs/>
          <w:color w:val="000000" w:themeColor="text1"/>
          <w:sz w:val="24"/>
          <w:szCs w:val="24"/>
        </w:rPr>
        <w:t>MİKRODİFÜZYON</w:t>
      </w:r>
      <w:r w:rsidRPr="00DB51BA">
        <w:rPr>
          <w:rFonts w:ascii="Times New Roman" w:hAnsi="Times New Roman" w:cs="Times New Roman"/>
          <w:b/>
          <w:bCs/>
          <w:color w:val="000000" w:themeColor="text1"/>
          <w:spacing w:val="-4"/>
          <w:sz w:val="24"/>
          <w:szCs w:val="24"/>
        </w:rPr>
        <w:t xml:space="preserve"> </w:t>
      </w:r>
      <w:r w:rsidRPr="00DB51BA">
        <w:rPr>
          <w:rFonts w:ascii="Times New Roman" w:hAnsi="Times New Roman" w:cs="Times New Roman"/>
          <w:b/>
          <w:bCs/>
          <w:color w:val="000000" w:themeColor="text1"/>
          <w:sz w:val="24"/>
          <w:szCs w:val="24"/>
        </w:rPr>
        <w:t>TEKNİĞİ</w:t>
      </w:r>
      <w:r w:rsidRPr="00DB51BA">
        <w:rPr>
          <w:rFonts w:ascii="Times New Roman" w:hAnsi="Times New Roman" w:cs="Times New Roman"/>
          <w:b/>
          <w:bCs/>
          <w:color w:val="000000" w:themeColor="text1"/>
          <w:spacing w:val="-6"/>
          <w:sz w:val="24"/>
          <w:szCs w:val="24"/>
        </w:rPr>
        <w:t xml:space="preserve"> </w:t>
      </w:r>
      <w:r w:rsidRPr="00DB51BA">
        <w:rPr>
          <w:rFonts w:ascii="Times New Roman" w:hAnsi="Times New Roman" w:cs="Times New Roman"/>
          <w:b/>
          <w:bCs/>
          <w:color w:val="000000" w:themeColor="text1"/>
          <w:sz w:val="24"/>
          <w:szCs w:val="24"/>
        </w:rPr>
        <w:t>İLE</w:t>
      </w:r>
      <w:r w:rsidRPr="00DB51BA">
        <w:rPr>
          <w:rFonts w:ascii="Times New Roman" w:hAnsi="Times New Roman" w:cs="Times New Roman"/>
          <w:b/>
          <w:bCs/>
          <w:color w:val="000000" w:themeColor="text1"/>
          <w:spacing w:val="-4"/>
          <w:sz w:val="24"/>
          <w:szCs w:val="24"/>
        </w:rPr>
        <w:t xml:space="preserve"> </w:t>
      </w:r>
      <w:r w:rsidRPr="00DB51BA">
        <w:rPr>
          <w:rFonts w:ascii="Times New Roman" w:hAnsi="Times New Roman" w:cs="Times New Roman"/>
          <w:b/>
          <w:bCs/>
          <w:color w:val="000000" w:themeColor="text1"/>
          <w:spacing w:val="-2"/>
          <w:sz w:val="24"/>
          <w:szCs w:val="24"/>
        </w:rPr>
        <w:t>SAPTANMASI</w:t>
      </w:r>
    </w:p>
    <w:p w14:paraId="036C234F" w14:textId="77777777" w:rsidR="00DB51BA" w:rsidRPr="00DB51BA" w:rsidRDefault="00DB51BA" w:rsidP="00DB51BA">
      <w:pPr>
        <w:pStyle w:val="ListeParagraf"/>
        <w:widowControl w:val="0"/>
        <w:numPr>
          <w:ilvl w:val="0"/>
          <w:numId w:val="14"/>
        </w:numPr>
        <w:tabs>
          <w:tab w:val="left" w:pos="1141"/>
          <w:tab w:val="left" w:pos="1144"/>
        </w:tabs>
        <w:autoSpaceDE w:val="0"/>
        <w:autoSpaceDN w:val="0"/>
        <w:spacing w:before="255" w:after="0" w:line="360" w:lineRule="auto"/>
        <w:ind w:right="423"/>
        <w:contextualSpacing w:val="0"/>
        <w:jc w:val="both"/>
        <w:rPr>
          <w:rFonts w:ascii="Times New Roman" w:hAnsi="Times New Roman" w:cs="Times New Roman"/>
        </w:rPr>
      </w:pPr>
      <w:r w:rsidRPr="00DB51BA">
        <w:rPr>
          <w:rFonts w:ascii="Times New Roman" w:hAnsi="Times New Roman" w:cs="Times New Roman"/>
        </w:rPr>
        <w:t>İç odacık olarak kullanılacak olan eppendorf tüp, dış odacık olarak kullanılan renksiz kavanozun içine yerleştirilir. İç odacığa 0,5 ml zehiri tutucu reaktif ve 0,5 ml renk reaktifi eklenir.</w:t>
      </w:r>
    </w:p>
    <w:p w14:paraId="669347EB" w14:textId="77777777" w:rsidR="00DB51BA" w:rsidRPr="00DB51BA" w:rsidRDefault="00DB51BA" w:rsidP="00DB51BA">
      <w:pPr>
        <w:pStyle w:val="ListeParagraf"/>
        <w:widowControl w:val="0"/>
        <w:numPr>
          <w:ilvl w:val="0"/>
          <w:numId w:val="14"/>
        </w:numPr>
        <w:tabs>
          <w:tab w:val="left" w:pos="1142"/>
          <w:tab w:val="left" w:pos="1144"/>
        </w:tabs>
        <w:autoSpaceDE w:val="0"/>
        <w:autoSpaceDN w:val="0"/>
        <w:spacing w:before="119" w:after="0" w:line="360" w:lineRule="auto"/>
        <w:ind w:right="428" w:hanging="401"/>
        <w:contextualSpacing w:val="0"/>
        <w:jc w:val="both"/>
        <w:rPr>
          <w:rFonts w:ascii="Times New Roman" w:hAnsi="Times New Roman" w:cs="Times New Roman"/>
        </w:rPr>
      </w:pPr>
      <w:r w:rsidRPr="00DB51BA">
        <w:rPr>
          <w:rFonts w:ascii="Times New Roman" w:hAnsi="Times New Roman" w:cs="Times New Roman"/>
        </w:rPr>
        <w:t xml:space="preserve">Dış odacık olarak kullanılacak kavanozun içine 0,5 ml zehiri açığa çıkarmak için kullanılan reaktif ve son olarak da 0,5 ml örnek eklenir ve hemen kavanoz kapağı </w:t>
      </w:r>
      <w:r w:rsidRPr="00DB51BA">
        <w:rPr>
          <w:rFonts w:ascii="Times New Roman" w:hAnsi="Times New Roman" w:cs="Times New Roman"/>
          <w:spacing w:val="-2"/>
        </w:rPr>
        <w:t>kapatılır.</w:t>
      </w:r>
    </w:p>
    <w:p w14:paraId="3B3AE161" w14:textId="77777777" w:rsidR="00DB51BA" w:rsidRPr="00DB51BA" w:rsidRDefault="00DB51BA" w:rsidP="00DB51BA">
      <w:pPr>
        <w:pStyle w:val="ListeParagraf"/>
        <w:widowControl w:val="0"/>
        <w:numPr>
          <w:ilvl w:val="0"/>
          <w:numId w:val="14"/>
        </w:numPr>
        <w:tabs>
          <w:tab w:val="left" w:pos="1141"/>
        </w:tabs>
        <w:autoSpaceDE w:val="0"/>
        <w:autoSpaceDN w:val="0"/>
        <w:spacing w:before="121" w:after="0" w:line="240" w:lineRule="auto"/>
        <w:ind w:left="1141" w:hanging="477"/>
        <w:contextualSpacing w:val="0"/>
        <w:jc w:val="both"/>
        <w:rPr>
          <w:rFonts w:ascii="Times New Roman" w:hAnsi="Times New Roman" w:cs="Times New Roman"/>
        </w:rPr>
      </w:pPr>
      <w:r w:rsidRPr="00DB51BA">
        <w:rPr>
          <w:rFonts w:ascii="Times New Roman" w:hAnsi="Times New Roman" w:cs="Times New Roman"/>
        </w:rPr>
        <w:t>İç</w:t>
      </w:r>
      <w:r w:rsidRPr="00DB51BA">
        <w:rPr>
          <w:rFonts w:ascii="Times New Roman" w:hAnsi="Times New Roman" w:cs="Times New Roman"/>
          <w:spacing w:val="15"/>
        </w:rPr>
        <w:t xml:space="preserve"> </w:t>
      </w:r>
      <w:r w:rsidRPr="00DB51BA">
        <w:rPr>
          <w:rFonts w:ascii="Times New Roman" w:hAnsi="Times New Roman" w:cs="Times New Roman"/>
        </w:rPr>
        <w:t>odacığın</w:t>
      </w:r>
      <w:r w:rsidRPr="00DB51BA">
        <w:rPr>
          <w:rFonts w:ascii="Times New Roman" w:hAnsi="Times New Roman" w:cs="Times New Roman"/>
          <w:spacing w:val="15"/>
        </w:rPr>
        <w:t xml:space="preserve"> </w:t>
      </w:r>
      <w:r w:rsidRPr="00DB51BA">
        <w:rPr>
          <w:rFonts w:ascii="Times New Roman" w:hAnsi="Times New Roman" w:cs="Times New Roman"/>
        </w:rPr>
        <w:t>taşarak</w:t>
      </w:r>
      <w:r w:rsidRPr="00DB51BA">
        <w:rPr>
          <w:rFonts w:ascii="Times New Roman" w:hAnsi="Times New Roman" w:cs="Times New Roman"/>
          <w:spacing w:val="15"/>
        </w:rPr>
        <w:t xml:space="preserve"> </w:t>
      </w:r>
      <w:r w:rsidRPr="00DB51BA">
        <w:rPr>
          <w:rFonts w:ascii="Times New Roman" w:hAnsi="Times New Roman" w:cs="Times New Roman"/>
        </w:rPr>
        <w:t>dış</w:t>
      </w:r>
      <w:r w:rsidRPr="00DB51BA">
        <w:rPr>
          <w:rFonts w:ascii="Times New Roman" w:hAnsi="Times New Roman" w:cs="Times New Roman"/>
          <w:spacing w:val="15"/>
        </w:rPr>
        <w:t xml:space="preserve"> </w:t>
      </w:r>
      <w:r w:rsidRPr="00DB51BA">
        <w:rPr>
          <w:rFonts w:ascii="Times New Roman" w:hAnsi="Times New Roman" w:cs="Times New Roman"/>
        </w:rPr>
        <w:t>odacığa</w:t>
      </w:r>
      <w:r w:rsidRPr="00DB51BA">
        <w:rPr>
          <w:rFonts w:ascii="Times New Roman" w:hAnsi="Times New Roman" w:cs="Times New Roman"/>
          <w:spacing w:val="14"/>
        </w:rPr>
        <w:t xml:space="preserve"> </w:t>
      </w:r>
      <w:r w:rsidRPr="00DB51BA">
        <w:rPr>
          <w:rFonts w:ascii="Times New Roman" w:hAnsi="Times New Roman" w:cs="Times New Roman"/>
        </w:rPr>
        <w:t>karışmaması</w:t>
      </w:r>
      <w:r w:rsidRPr="00DB51BA">
        <w:rPr>
          <w:rFonts w:ascii="Times New Roman" w:hAnsi="Times New Roman" w:cs="Times New Roman"/>
          <w:spacing w:val="15"/>
        </w:rPr>
        <w:t xml:space="preserve"> </w:t>
      </w:r>
      <w:r w:rsidRPr="00DB51BA">
        <w:rPr>
          <w:rFonts w:ascii="Times New Roman" w:hAnsi="Times New Roman" w:cs="Times New Roman"/>
        </w:rPr>
        <w:t>için</w:t>
      </w:r>
      <w:r w:rsidRPr="00DB51BA">
        <w:rPr>
          <w:rFonts w:ascii="Times New Roman" w:hAnsi="Times New Roman" w:cs="Times New Roman"/>
          <w:spacing w:val="14"/>
        </w:rPr>
        <w:t xml:space="preserve"> </w:t>
      </w:r>
      <w:r w:rsidRPr="00DB51BA">
        <w:rPr>
          <w:rFonts w:ascii="Times New Roman" w:hAnsi="Times New Roman" w:cs="Times New Roman"/>
        </w:rPr>
        <w:t>dikkat</w:t>
      </w:r>
      <w:r w:rsidRPr="00DB51BA">
        <w:rPr>
          <w:rFonts w:ascii="Times New Roman" w:hAnsi="Times New Roman" w:cs="Times New Roman"/>
          <w:spacing w:val="15"/>
        </w:rPr>
        <w:t xml:space="preserve"> </w:t>
      </w:r>
      <w:r w:rsidRPr="00DB51BA">
        <w:rPr>
          <w:rFonts w:ascii="Times New Roman" w:hAnsi="Times New Roman" w:cs="Times New Roman"/>
        </w:rPr>
        <w:t>edilir.</w:t>
      </w:r>
      <w:r w:rsidRPr="00DB51BA">
        <w:rPr>
          <w:rFonts w:ascii="Times New Roman" w:hAnsi="Times New Roman" w:cs="Times New Roman"/>
          <w:spacing w:val="14"/>
        </w:rPr>
        <w:t xml:space="preserve"> </w:t>
      </w:r>
      <w:r w:rsidRPr="00DB51BA">
        <w:rPr>
          <w:rFonts w:ascii="Times New Roman" w:hAnsi="Times New Roman" w:cs="Times New Roman"/>
        </w:rPr>
        <w:t>Kavanoz</w:t>
      </w:r>
      <w:r w:rsidRPr="00DB51BA">
        <w:rPr>
          <w:rFonts w:ascii="Times New Roman" w:hAnsi="Times New Roman" w:cs="Times New Roman"/>
          <w:spacing w:val="16"/>
        </w:rPr>
        <w:t xml:space="preserve"> </w:t>
      </w:r>
      <w:r w:rsidRPr="00DB51BA">
        <w:rPr>
          <w:rFonts w:ascii="Times New Roman" w:hAnsi="Times New Roman" w:cs="Times New Roman"/>
        </w:rPr>
        <w:t>15</w:t>
      </w:r>
      <w:r w:rsidRPr="00DB51BA">
        <w:rPr>
          <w:rFonts w:ascii="Times New Roman" w:hAnsi="Times New Roman" w:cs="Times New Roman"/>
          <w:spacing w:val="14"/>
        </w:rPr>
        <w:t xml:space="preserve"> </w:t>
      </w:r>
      <w:r w:rsidRPr="00DB51BA">
        <w:rPr>
          <w:rFonts w:ascii="Times New Roman" w:hAnsi="Times New Roman" w:cs="Times New Roman"/>
        </w:rPr>
        <w:t>dakika</w:t>
      </w:r>
      <w:r w:rsidRPr="00DB51BA">
        <w:rPr>
          <w:rFonts w:ascii="Times New Roman" w:hAnsi="Times New Roman" w:cs="Times New Roman"/>
          <w:spacing w:val="15"/>
        </w:rPr>
        <w:t xml:space="preserve"> </w:t>
      </w:r>
      <w:r w:rsidRPr="00DB51BA">
        <w:rPr>
          <w:rFonts w:ascii="Times New Roman" w:hAnsi="Times New Roman" w:cs="Times New Roman"/>
          <w:spacing w:val="-5"/>
        </w:rPr>
        <w:t>37</w:t>
      </w:r>
    </w:p>
    <w:p w14:paraId="5CE52C5D" w14:textId="77777777" w:rsidR="00DB51BA" w:rsidRDefault="00DB51BA" w:rsidP="00DB51BA">
      <w:pPr>
        <w:pStyle w:val="GvdeMetni"/>
        <w:spacing w:before="137"/>
        <w:ind w:left="1144"/>
        <w:jc w:val="both"/>
      </w:pPr>
      <w:proofErr w:type="gramStart"/>
      <w:r w:rsidRPr="00DB51BA">
        <w:rPr>
          <w:vertAlign w:val="superscript"/>
        </w:rPr>
        <w:t>o</w:t>
      </w:r>
      <w:r w:rsidRPr="00DB51BA">
        <w:t>C’lik</w:t>
      </w:r>
      <w:proofErr w:type="gramEnd"/>
      <w:r w:rsidRPr="00DB51BA">
        <w:rPr>
          <w:spacing w:val="-1"/>
        </w:rPr>
        <w:t xml:space="preserve"> </w:t>
      </w:r>
      <w:r w:rsidRPr="00DB51BA">
        <w:t>su</w:t>
      </w:r>
      <w:r w:rsidRPr="00DB51BA">
        <w:rPr>
          <w:spacing w:val="-1"/>
        </w:rPr>
        <w:t xml:space="preserve"> </w:t>
      </w:r>
      <w:r w:rsidRPr="00DB51BA">
        <w:t>banyosunda</w:t>
      </w:r>
      <w:r w:rsidRPr="00DB51BA">
        <w:rPr>
          <w:spacing w:val="-2"/>
        </w:rPr>
        <w:t xml:space="preserve"> </w:t>
      </w:r>
      <w:r w:rsidRPr="00DB51BA">
        <w:t>bekletilir,</w:t>
      </w:r>
      <w:r w:rsidRPr="00DB51BA">
        <w:rPr>
          <w:spacing w:val="-1"/>
        </w:rPr>
        <w:t xml:space="preserve"> </w:t>
      </w:r>
      <w:r w:rsidRPr="00DB51BA">
        <w:t>aralarda</w:t>
      </w:r>
      <w:r w:rsidRPr="00DB51BA">
        <w:rPr>
          <w:spacing w:val="-1"/>
        </w:rPr>
        <w:t xml:space="preserve"> </w:t>
      </w:r>
      <w:r w:rsidRPr="00DB51BA">
        <w:t>renk</w:t>
      </w:r>
      <w:r w:rsidRPr="00DB51BA">
        <w:rPr>
          <w:spacing w:val="-1"/>
        </w:rPr>
        <w:t xml:space="preserve"> </w:t>
      </w:r>
      <w:r w:rsidRPr="00DB51BA">
        <w:t>oluşumu</w:t>
      </w:r>
      <w:r w:rsidRPr="00DB51BA">
        <w:rPr>
          <w:spacing w:val="-1"/>
        </w:rPr>
        <w:t xml:space="preserve"> </w:t>
      </w:r>
      <w:r w:rsidRPr="00DB51BA">
        <w:t>kontrol</w:t>
      </w:r>
      <w:r w:rsidRPr="00DB51BA">
        <w:rPr>
          <w:spacing w:val="-1"/>
        </w:rPr>
        <w:t xml:space="preserve"> </w:t>
      </w:r>
      <w:r w:rsidRPr="00DB51BA">
        <w:rPr>
          <w:spacing w:val="-2"/>
        </w:rPr>
        <w:t>edilir.</w:t>
      </w:r>
    </w:p>
    <w:p w14:paraId="5EE3DBBA" w14:textId="77777777" w:rsidR="00DB51BA" w:rsidRDefault="00DB51BA" w:rsidP="00DB51BA">
      <w:pPr>
        <w:pStyle w:val="GvdeMetni"/>
        <w:rPr>
          <w:sz w:val="20"/>
        </w:rPr>
      </w:pPr>
    </w:p>
    <w:p w14:paraId="52D5838A" w14:textId="77777777" w:rsidR="00DB51BA" w:rsidRDefault="00DB51BA" w:rsidP="00DB51BA">
      <w:pPr>
        <w:pStyle w:val="GvdeMetni"/>
        <w:rPr>
          <w:sz w:val="20"/>
        </w:rPr>
      </w:pPr>
    </w:p>
    <w:p w14:paraId="6424342D" w14:textId="77777777" w:rsidR="00DB51BA" w:rsidRDefault="00DB51BA" w:rsidP="00DB51BA">
      <w:pPr>
        <w:pStyle w:val="GvdeMetni"/>
        <w:spacing w:before="13"/>
        <w:rPr>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8"/>
        <w:gridCol w:w="3061"/>
        <w:gridCol w:w="1980"/>
        <w:gridCol w:w="2521"/>
      </w:tblGrid>
      <w:tr w:rsidR="00DB51BA" w14:paraId="71B5DC69" w14:textId="77777777" w:rsidTr="00117CF5">
        <w:trPr>
          <w:trHeight w:val="906"/>
        </w:trPr>
        <w:tc>
          <w:tcPr>
            <w:tcW w:w="5019" w:type="dxa"/>
            <w:gridSpan w:val="2"/>
          </w:tcPr>
          <w:p w14:paraId="5BF28387" w14:textId="77777777" w:rsidR="00DB51BA" w:rsidRPr="001663F2" w:rsidRDefault="00DB51BA" w:rsidP="00117CF5">
            <w:pPr>
              <w:pStyle w:val="TableParagraph"/>
              <w:spacing w:before="169"/>
              <w:ind w:left="9" w:right="3"/>
              <w:rPr>
                <w:sz w:val="24"/>
                <w:lang w:val="sv-SE"/>
              </w:rPr>
            </w:pPr>
            <w:r w:rsidRPr="001663F2">
              <w:rPr>
                <w:sz w:val="24"/>
                <w:lang w:val="sv-SE"/>
              </w:rPr>
              <w:t>DIŞ</w:t>
            </w:r>
            <w:r w:rsidRPr="001663F2">
              <w:rPr>
                <w:spacing w:val="-5"/>
                <w:sz w:val="24"/>
                <w:lang w:val="sv-SE"/>
              </w:rPr>
              <w:t xml:space="preserve"> </w:t>
            </w:r>
            <w:r w:rsidRPr="001663F2">
              <w:rPr>
                <w:spacing w:val="-2"/>
                <w:sz w:val="24"/>
                <w:lang w:val="sv-SE"/>
              </w:rPr>
              <w:t>ODACIK</w:t>
            </w:r>
          </w:p>
          <w:p w14:paraId="01ACC271" w14:textId="77777777" w:rsidR="00DB51BA" w:rsidRPr="001663F2" w:rsidRDefault="00DB51BA" w:rsidP="00117CF5">
            <w:pPr>
              <w:pStyle w:val="TableParagraph"/>
              <w:spacing w:before="0"/>
              <w:ind w:left="9"/>
              <w:rPr>
                <w:sz w:val="24"/>
                <w:lang w:val="sv-SE"/>
              </w:rPr>
            </w:pPr>
            <w:r w:rsidRPr="001663F2">
              <w:rPr>
                <w:sz w:val="24"/>
                <w:lang w:val="sv-SE"/>
              </w:rPr>
              <w:t>(0,5</w:t>
            </w:r>
            <w:r w:rsidRPr="001663F2">
              <w:rPr>
                <w:spacing w:val="-1"/>
                <w:sz w:val="24"/>
                <w:lang w:val="sv-SE"/>
              </w:rPr>
              <w:t xml:space="preserve"> </w:t>
            </w:r>
            <w:r w:rsidRPr="001663F2">
              <w:rPr>
                <w:sz w:val="24"/>
                <w:lang w:val="sv-SE"/>
              </w:rPr>
              <w:t xml:space="preserve">ml-0,5 ml </w:t>
            </w:r>
            <w:r w:rsidRPr="001663F2">
              <w:rPr>
                <w:spacing w:val="-2"/>
                <w:sz w:val="24"/>
                <w:lang w:val="sv-SE"/>
              </w:rPr>
              <w:t>örnek)</w:t>
            </w:r>
          </w:p>
        </w:tc>
        <w:tc>
          <w:tcPr>
            <w:tcW w:w="4501" w:type="dxa"/>
            <w:gridSpan w:val="2"/>
          </w:tcPr>
          <w:p w14:paraId="5BAC07D8" w14:textId="77777777" w:rsidR="00DB51BA" w:rsidRDefault="00DB51BA" w:rsidP="00117CF5">
            <w:pPr>
              <w:pStyle w:val="TableParagraph"/>
              <w:spacing w:before="169"/>
              <w:ind w:left="1490" w:right="1476" w:firstLine="144"/>
              <w:jc w:val="left"/>
              <w:rPr>
                <w:sz w:val="24"/>
              </w:rPr>
            </w:pPr>
            <w:r>
              <w:rPr>
                <w:sz w:val="24"/>
              </w:rPr>
              <w:t>İÇ ODACIK (0,5+0,5=</w:t>
            </w:r>
            <w:r>
              <w:rPr>
                <w:spacing w:val="-15"/>
                <w:sz w:val="24"/>
              </w:rPr>
              <w:t xml:space="preserve"> </w:t>
            </w:r>
            <w:r>
              <w:rPr>
                <w:sz w:val="24"/>
              </w:rPr>
              <w:t>1</w:t>
            </w:r>
            <w:r>
              <w:rPr>
                <w:spacing w:val="-15"/>
                <w:sz w:val="24"/>
              </w:rPr>
              <w:t xml:space="preserve"> </w:t>
            </w:r>
            <w:r>
              <w:rPr>
                <w:sz w:val="24"/>
              </w:rPr>
              <w:t>ml)</w:t>
            </w:r>
          </w:p>
        </w:tc>
      </w:tr>
      <w:tr w:rsidR="00DB51BA" w14:paraId="1D759D15" w14:textId="77777777" w:rsidTr="00117CF5">
        <w:trPr>
          <w:trHeight w:val="736"/>
        </w:trPr>
        <w:tc>
          <w:tcPr>
            <w:tcW w:w="1958" w:type="dxa"/>
          </w:tcPr>
          <w:p w14:paraId="68D58B0C" w14:textId="77777777" w:rsidR="00DB51BA" w:rsidRDefault="00DB51BA" w:rsidP="00117CF5">
            <w:pPr>
              <w:pStyle w:val="TableParagraph"/>
              <w:spacing w:before="227"/>
              <w:ind w:left="71"/>
              <w:jc w:val="left"/>
              <w:rPr>
                <w:b/>
                <w:i/>
                <w:sz w:val="24"/>
              </w:rPr>
            </w:pPr>
            <w:r>
              <w:rPr>
                <w:b/>
                <w:i/>
                <w:sz w:val="24"/>
              </w:rPr>
              <w:t>Aranacak</w:t>
            </w:r>
            <w:r>
              <w:rPr>
                <w:b/>
                <w:i/>
                <w:spacing w:val="-1"/>
                <w:sz w:val="24"/>
              </w:rPr>
              <w:t xml:space="preserve"> </w:t>
            </w:r>
            <w:r>
              <w:rPr>
                <w:b/>
                <w:i/>
                <w:spacing w:val="-2"/>
                <w:sz w:val="24"/>
              </w:rPr>
              <w:t>Zehir</w:t>
            </w:r>
          </w:p>
        </w:tc>
        <w:tc>
          <w:tcPr>
            <w:tcW w:w="3061" w:type="dxa"/>
          </w:tcPr>
          <w:p w14:paraId="63444292" w14:textId="77777777" w:rsidR="00DB51BA" w:rsidRPr="001663F2" w:rsidRDefault="00DB51BA" w:rsidP="00117CF5">
            <w:pPr>
              <w:pStyle w:val="TableParagraph"/>
              <w:spacing w:before="90"/>
              <w:ind w:left="641" w:hanging="426"/>
              <w:jc w:val="left"/>
              <w:rPr>
                <w:b/>
                <w:i/>
                <w:sz w:val="24"/>
                <w:lang w:val="sv-SE"/>
              </w:rPr>
            </w:pPr>
            <w:r w:rsidRPr="001663F2">
              <w:rPr>
                <w:b/>
                <w:i/>
                <w:sz w:val="24"/>
                <w:lang w:val="sv-SE"/>
              </w:rPr>
              <w:t>Zehiri</w:t>
            </w:r>
            <w:r w:rsidRPr="001663F2">
              <w:rPr>
                <w:b/>
                <w:i/>
                <w:spacing w:val="-11"/>
                <w:sz w:val="24"/>
                <w:lang w:val="sv-SE"/>
              </w:rPr>
              <w:t xml:space="preserve"> </w:t>
            </w:r>
            <w:r w:rsidRPr="001663F2">
              <w:rPr>
                <w:b/>
                <w:i/>
                <w:sz w:val="24"/>
                <w:lang w:val="sv-SE"/>
              </w:rPr>
              <w:t>açığa</w:t>
            </w:r>
            <w:r w:rsidRPr="001663F2">
              <w:rPr>
                <w:b/>
                <w:i/>
                <w:spacing w:val="-12"/>
                <w:sz w:val="24"/>
                <w:lang w:val="sv-SE"/>
              </w:rPr>
              <w:t xml:space="preserve"> </w:t>
            </w:r>
            <w:r w:rsidRPr="001663F2">
              <w:rPr>
                <w:b/>
                <w:i/>
                <w:sz w:val="24"/>
                <w:lang w:val="sv-SE"/>
              </w:rPr>
              <w:t>çıkarmak</w:t>
            </w:r>
            <w:r w:rsidRPr="001663F2">
              <w:rPr>
                <w:b/>
                <w:i/>
                <w:spacing w:val="-15"/>
                <w:sz w:val="24"/>
                <w:lang w:val="sv-SE"/>
              </w:rPr>
              <w:t xml:space="preserve"> </w:t>
            </w:r>
            <w:r w:rsidRPr="001663F2">
              <w:rPr>
                <w:b/>
                <w:i/>
                <w:sz w:val="24"/>
                <w:lang w:val="sv-SE"/>
              </w:rPr>
              <w:t>için Kullanılan reaktif</w:t>
            </w:r>
          </w:p>
        </w:tc>
        <w:tc>
          <w:tcPr>
            <w:tcW w:w="1980" w:type="dxa"/>
          </w:tcPr>
          <w:p w14:paraId="4CBAB481" w14:textId="77777777" w:rsidR="00DB51BA" w:rsidRDefault="00DB51BA" w:rsidP="00117CF5">
            <w:pPr>
              <w:pStyle w:val="TableParagraph"/>
              <w:spacing w:before="227"/>
              <w:ind w:left="17"/>
              <w:rPr>
                <w:b/>
                <w:i/>
                <w:sz w:val="24"/>
              </w:rPr>
            </w:pPr>
            <w:r>
              <w:rPr>
                <w:b/>
                <w:i/>
                <w:sz w:val="24"/>
              </w:rPr>
              <w:t>Absorban</w:t>
            </w:r>
            <w:r>
              <w:rPr>
                <w:b/>
                <w:i/>
                <w:spacing w:val="1"/>
                <w:sz w:val="24"/>
              </w:rPr>
              <w:t xml:space="preserve"> </w:t>
            </w:r>
            <w:r>
              <w:rPr>
                <w:b/>
                <w:i/>
                <w:spacing w:val="-2"/>
                <w:sz w:val="24"/>
              </w:rPr>
              <w:t>reaktif</w:t>
            </w:r>
          </w:p>
        </w:tc>
        <w:tc>
          <w:tcPr>
            <w:tcW w:w="2521" w:type="dxa"/>
          </w:tcPr>
          <w:p w14:paraId="31AB8E0F" w14:textId="77777777" w:rsidR="00DB51BA" w:rsidRDefault="00DB51BA" w:rsidP="00117CF5">
            <w:pPr>
              <w:pStyle w:val="TableParagraph"/>
              <w:spacing w:before="227"/>
              <w:ind w:left="209"/>
              <w:jc w:val="left"/>
              <w:rPr>
                <w:b/>
                <w:i/>
                <w:sz w:val="24"/>
              </w:rPr>
            </w:pPr>
            <w:r>
              <w:rPr>
                <w:b/>
                <w:i/>
                <w:sz w:val="24"/>
              </w:rPr>
              <w:t>Renk</w:t>
            </w:r>
            <w:r>
              <w:rPr>
                <w:b/>
                <w:i/>
                <w:spacing w:val="-1"/>
                <w:sz w:val="24"/>
              </w:rPr>
              <w:t xml:space="preserve"> </w:t>
            </w:r>
            <w:r>
              <w:rPr>
                <w:b/>
                <w:i/>
                <w:sz w:val="24"/>
              </w:rPr>
              <w:t>reaktifi</w:t>
            </w:r>
            <w:r>
              <w:rPr>
                <w:b/>
                <w:i/>
                <w:spacing w:val="-1"/>
                <w:sz w:val="24"/>
              </w:rPr>
              <w:t xml:space="preserve"> </w:t>
            </w:r>
            <w:r>
              <w:rPr>
                <w:b/>
                <w:i/>
                <w:spacing w:val="-2"/>
                <w:sz w:val="24"/>
              </w:rPr>
              <w:t>(sonuç)</w:t>
            </w:r>
          </w:p>
        </w:tc>
      </w:tr>
      <w:tr w:rsidR="00DB51BA" w14:paraId="5F7CE0F0" w14:textId="77777777" w:rsidTr="00117CF5">
        <w:trPr>
          <w:trHeight w:val="822"/>
        </w:trPr>
        <w:tc>
          <w:tcPr>
            <w:tcW w:w="1958" w:type="dxa"/>
          </w:tcPr>
          <w:p w14:paraId="4417FAFB" w14:textId="77777777" w:rsidR="00DB51BA" w:rsidRPr="001663F2" w:rsidRDefault="00DB51BA" w:rsidP="00117CF5">
            <w:pPr>
              <w:pStyle w:val="TableParagraph"/>
              <w:spacing w:before="0" w:line="268" w:lineRule="exact"/>
              <w:ind w:left="71"/>
              <w:jc w:val="left"/>
              <w:rPr>
                <w:sz w:val="24"/>
                <w:lang w:val="sv-SE"/>
              </w:rPr>
            </w:pPr>
            <w:r w:rsidRPr="001663F2">
              <w:rPr>
                <w:sz w:val="24"/>
                <w:lang w:val="sv-SE"/>
              </w:rPr>
              <w:t>Alkoller</w:t>
            </w:r>
            <w:r w:rsidRPr="001663F2">
              <w:rPr>
                <w:spacing w:val="-1"/>
                <w:sz w:val="24"/>
                <w:lang w:val="sv-SE"/>
              </w:rPr>
              <w:t xml:space="preserve"> </w:t>
            </w:r>
            <w:r w:rsidRPr="001663F2">
              <w:rPr>
                <w:spacing w:val="-2"/>
                <w:sz w:val="24"/>
                <w:lang w:val="sv-SE"/>
              </w:rPr>
              <w:t>(Metil,</w:t>
            </w:r>
          </w:p>
          <w:p w14:paraId="67044C8B" w14:textId="77777777" w:rsidR="00DB51BA" w:rsidRPr="001663F2" w:rsidRDefault="00DB51BA" w:rsidP="00117CF5">
            <w:pPr>
              <w:pStyle w:val="TableParagraph"/>
              <w:spacing w:before="0" w:line="270" w:lineRule="atLeast"/>
              <w:ind w:left="71" w:right="578"/>
              <w:jc w:val="left"/>
              <w:rPr>
                <w:sz w:val="24"/>
                <w:lang w:val="sv-SE"/>
              </w:rPr>
            </w:pPr>
            <w:r w:rsidRPr="001663F2">
              <w:rPr>
                <w:sz w:val="24"/>
                <w:lang w:val="sv-SE"/>
              </w:rPr>
              <w:t>etil,</w:t>
            </w:r>
            <w:r w:rsidRPr="001663F2">
              <w:rPr>
                <w:spacing w:val="-15"/>
                <w:sz w:val="24"/>
                <w:lang w:val="sv-SE"/>
              </w:rPr>
              <w:t xml:space="preserve"> </w:t>
            </w:r>
            <w:r w:rsidRPr="001663F2">
              <w:rPr>
                <w:sz w:val="24"/>
                <w:lang w:val="sv-SE"/>
              </w:rPr>
              <w:t xml:space="preserve">izopropil </w:t>
            </w:r>
            <w:r w:rsidRPr="001663F2">
              <w:rPr>
                <w:spacing w:val="-2"/>
                <w:sz w:val="24"/>
                <w:lang w:val="sv-SE"/>
              </w:rPr>
              <w:t>alkol)</w:t>
            </w:r>
          </w:p>
        </w:tc>
        <w:tc>
          <w:tcPr>
            <w:tcW w:w="3061" w:type="dxa"/>
          </w:tcPr>
          <w:p w14:paraId="2AF956C6" w14:textId="77777777" w:rsidR="00DB51BA" w:rsidRDefault="00DB51BA" w:rsidP="00117CF5">
            <w:pPr>
              <w:pStyle w:val="TableParagraph"/>
              <w:spacing w:before="264"/>
              <w:ind w:left="15" w:right="1"/>
              <w:rPr>
                <w:sz w:val="16"/>
              </w:rPr>
            </w:pPr>
            <w:r>
              <w:rPr>
                <w:position w:val="2"/>
                <w:sz w:val="24"/>
              </w:rPr>
              <w:t>Doymuş</w:t>
            </w:r>
            <w:r>
              <w:rPr>
                <w:spacing w:val="-7"/>
                <w:position w:val="2"/>
                <w:sz w:val="24"/>
              </w:rPr>
              <w:t xml:space="preserve"> </w:t>
            </w:r>
            <w:r>
              <w:rPr>
                <w:spacing w:val="-2"/>
                <w:position w:val="2"/>
                <w:sz w:val="24"/>
              </w:rPr>
              <w:t>Na</w:t>
            </w:r>
            <w:r>
              <w:rPr>
                <w:spacing w:val="-2"/>
                <w:sz w:val="16"/>
              </w:rPr>
              <w:t>2</w:t>
            </w:r>
            <w:r>
              <w:rPr>
                <w:spacing w:val="-2"/>
                <w:position w:val="2"/>
                <w:sz w:val="24"/>
              </w:rPr>
              <w:t>CO</w:t>
            </w:r>
            <w:r>
              <w:rPr>
                <w:spacing w:val="-2"/>
                <w:sz w:val="16"/>
              </w:rPr>
              <w:t>3</w:t>
            </w:r>
          </w:p>
        </w:tc>
        <w:tc>
          <w:tcPr>
            <w:tcW w:w="1980" w:type="dxa"/>
          </w:tcPr>
          <w:p w14:paraId="3A82C172" w14:textId="77777777" w:rsidR="00DB51BA" w:rsidRDefault="00DB51BA" w:rsidP="00117CF5">
            <w:pPr>
              <w:pStyle w:val="TableParagraph"/>
              <w:spacing w:before="265"/>
              <w:ind w:left="17" w:right="2"/>
              <w:rPr>
                <w:sz w:val="24"/>
              </w:rPr>
            </w:pPr>
            <w:r>
              <w:rPr>
                <w:spacing w:val="-10"/>
                <w:sz w:val="24"/>
              </w:rPr>
              <w:t>-</w:t>
            </w:r>
          </w:p>
        </w:tc>
        <w:tc>
          <w:tcPr>
            <w:tcW w:w="2521" w:type="dxa"/>
          </w:tcPr>
          <w:p w14:paraId="4544123F" w14:textId="77777777" w:rsidR="00DB51BA" w:rsidRDefault="00DB51BA" w:rsidP="00117CF5">
            <w:pPr>
              <w:pStyle w:val="TableParagraph"/>
              <w:spacing w:before="128"/>
              <w:ind w:left="955" w:right="408" w:hanging="531"/>
              <w:jc w:val="left"/>
              <w:rPr>
                <w:sz w:val="24"/>
              </w:rPr>
            </w:pPr>
            <w:r>
              <w:rPr>
                <w:sz w:val="24"/>
              </w:rPr>
              <w:t>An</w:t>
            </w:r>
            <w:r>
              <w:rPr>
                <w:b/>
                <w:sz w:val="24"/>
              </w:rPr>
              <w:t>s</w:t>
            </w:r>
            <w:r>
              <w:rPr>
                <w:sz w:val="24"/>
              </w:rPr>
              <w:t>ties</w:t>
            </w:r>
            <w:r>
              <w:rPr>
                <w:spacing w:val="-15"/>
                <w:sz w:val="24"/>
              </w:rPr>
              <w:t xml:space="preserve"> </w:t>
            </w:r>
            <w:r>
              <w:rPr>
                <w:sz w:val="24"/>
              </w:rPr>
              <w:t xml:space="preserve">Reaktifi* </w:t>
            </w:r>
            <w:r>
              <w:rPr>
                <w:spacing w:val="-2"/>
                <w:sz w:val="24"/>
              </w:rPr>
              <w:t>(</w:t>
            </w:r>
            <w:r>
              <w:rPr>
                <w:b/>
                <w:spacing w:val="-2"/>
                <w:sz w:val="24"/>
                <w:u w:val="single"/>
              </w:rPr>
              <w:t>yeşil</w:t>
            </w:r>
            <w:r>
              <w:rPr>
                <w:spacing w:val="-2"/>
                <w:sz w:val="24"/>
              </w:rPr>
              <w:t>)</w:t>
            </w:r>
          </w:p>
        </w:tc>
      </w:tr>
      <w:tr w:rsidR="00DB51BA" w14:paraId="59AE16F3" w14:textId="77777777" w:rsidTr="00117CF5">
        <w:trPr>
          <w:trHeight w:val="784"/>
        </w:trPr>
        <w:tc>
          <w:tcPr>
            <w:tcW w:w="1958" w:type="dxa"/>
          </w:tcPr>
          <w:p w14:paraId="54CE4029" w14:textId="77777777" w:rsidR="00DB51BA" w:rsidRDefault="00DB51BA" w:rsidP="00117CF5">
            <w:pPr>
              <w:pStyle w:val="TableParagraph"/>
              <w:spacing w:before="246"/>
              <w:ind w:left="71"/>
              <w:jc w:val="left"/>
              <w:rPr>
                <w:sz w:val="24"/>
              </w:rPr>
            </w:pPr>
            <w:r>
              <w:rPr>
                <w:spacing w:val="-2"/>
                <w:sz w:val="24"/>
              </w:rPr>
              <w:t>Amonyak</w:t>
            </w:r>
          </w:p>
        </w:tc>
        <w:tc>
          <w:tcPr>
            <w:tcW w:w="3061" w:type="dxa"/>
          </w:tcPr>
          <w:p w14:paraId="07805118" w14:textId="77777777" w:rsidR="00DB51BA" w:rsidRDefault="00DB51BA" w:rsidP="00117CF5">
            <w:pPr>
              <w:pStyle w:val="TableParagraph"/>
              <w:spacing w:before="246"/>
              <w:ind w:left="15"/>
              <w:rPr>
                <w:sz w:val="24"/>
              </w:rPr>
            </w:pPr>
            <w:r>
              <w:rPr>
                <w:spacing w:val="-10"/>
                <w:sz w:val="24"/>
              </w:rPr>
              <w:t>-</w:t>
            </w:r>
          </w:p>
        </w:tc>
        <w:tc>
          <w:tcPr>
            <w:tcW w:w="1980" w:type="dxa"/>
          </w:tcPr>
          <w:p w14:paraId="60B3C448" w14:textId="77777777" w:rsidR="00DB51BA" w:rsidRDefault="00DB51BA" w:rsidP="00117CF5">
            <w:pPr>
              <w:pStyle w:val="TableParagraph"/>
              <w:spacing w:before="246"/>
              <w:ind w:left="17" w:right="2"/>
              <w:rPr>
                <w:sz w:val="24"/>
              </w:rPr>
            </w:pPr>
            <w:r>
              <w:rPr>
                <w:spacing w:val="-10"/>
                <w:sz w:val="24"/>
              </w:rPr>
              <w:t>-</w:t>
            </w:r>
          </w:p>
        </w:tc>
        <w:tc>
          <w:tcPr>
            <w:tcW w:w="2521" w:type="dxa"/>
          </w:tcPr>
          <w:p w14:paraId="6B7DF1B1" w14:textId="77777777" w:rsidR="00DB51BA" w:rsidRDefault="00DB51BA" w:rsidP="00117CF5">
            <w:pPr>
              <w:pStyle w:val="TableParagraph"/>
              <w:spacing w:before="0" w:line="237" w:lineRule="auto"/>
              <w:ind w:left="768" w:right="349" w:hanging="404"/>
              <w:jc w:val="left"/>
              <w:rPr>
                <w:sz w:val="24"/>
              </w:rPr>
            </w:pPr>
            <w:r>
              <w:rPr>
                <w:sz w:val="24"/>
              </w:rPr>
              <w:t>Nessler</w:t>
            </w:r>
            <w:r>
              <w:rPr>
                <w:spacing w:val="-15"/>
                <w:sz w:val="24"/>
              </w:rPr>
              <w:t xml:space="preserve"> </w:t>
            </w:r>
            <w:r>
              <w:rPr>
                <w:sz w:val="24"/>
              </w:rPr>
              <w:t xml:space="preserve">Reaktifi** </w:t>
            </w:r>
            <w:r>
              <w:rPr>
                <w:spacing w:val="-2"/>
                <w:sz w:val="24"/>
              </w:rPr>
              <w:t>(</w:t>
            </w:r>
            <w:r>
              <w:rPr>
                <w:b/>
                <w:spacing w:val="-2"/>
                <w:sz w:val="24"/>
                <w:u w:val="single"/>
              </w:rPr>
              <w:t>turuncu</w:t>
            </w:r>
            <w:r>
              <w:rPr>
                <w:spacing w:val="-2"/>
                <w:sz w:val="24"/>
              </w:rPr>
              <w:t>)</w:t>
            </w:r>
          </w:p>
        </w:tc>
      </w:tr>
    </w:tbl>
    <w:p w14:paraId="425A4B5D" w14:textId="77777777" w:rsidR="00DB51BA" w:rsidRDefault="00DB51BA" w:rsidP="00DB51BA">
      <w:pPr>
        <w:pStyle w:val="TableParagraph"/>
        <w:spacing w:line="237" w:lineRule="auto"/>
        <w:jc w:val="left"/>
        <w:rPr>
          <w:sz w:val="24"/>
        </w:rPr>
      </w:pPr>
    </w:p>
    <w:p w14:paraId="54D60FC5"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Vaka Örnekleri:</w:t>
      </w:r>
    </w:p>
    <w:p w14:paraId="3327D93A"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Vaka 1 — Alkol zehirlenmesi (Etanol)</w:t>
      </w:r>
    </w:p>
    <w:p w14:paraId="1AC545B0"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Hasta: 21 yaş, erkek</w:t>
      </w:r>
    </w:p>
    <w:p w14:paraId="1D0F2C95"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Başvuru nedeni: “Aşırı uyku hali, konuşmada peltekleşme, dengesiz yürüme”</w:t>
      </w:r>
    </w:p>
    <w:p w14:paraId="6A2E1A15"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Öykü: Arkadaşlarıyla 2–3 saatte çok miktarda alkol almış. Kusmuş. Başka ilaç/madde aldığını söyleyen yok.</w:t>
      </w:r>
    </w:p>
    <w:p w14:paraId="05AB7C30"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Muayene (özet):</w:t>
      </w:r>
    </w:p>
    <w:p w14:paraId="1EC7E7C6"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Bilinç: uykuya meyilli ama uyandırılabiliyor</w:t>
      </w:r>
    </w:p>
    <w:p w14:paraId="76136274"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Konuşma: peltek</w:t>
      </w:r>
    </w:p>
    <w:p w14:paraId="60B4FFF0"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Yürüyüş: dengesiz</w:t>
      </w:r>
    </w:p>
    <w:p w14:paraId="1ACB8783"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Cilt: soğuk-terli değil, belirgin travma yok</w:t>
      </w:r>
    </w:p>
    <w:p w14:paraId="0D1A6098"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Laboratuvar:</w:t>
      </w:r>
    </w:p>
    <w:p w14:paraId="47F85CF1"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Parmak ucu glukoz: düşük sınırda (örn. 65 mg/dL)</w:t>
      </w:r>
    </w:p>
    <w:p w14:paraId="1E126C75"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Değerlendirme/İpucu:</w:t>
      </w:r>
    </w:p>
    <w:p w14:paraId="43D7955A"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Bulgular etanolün SSS depresyonu ile uyumlu.</w:t>
      </w:r>
    </w:p>
    <w:p w14:paraId="40897729"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Hipoglisemi özellikle gençlerde risk olabilir.</w:t>
      </w:r>
    </w:p>
    <w:p w14:paraId="74AD3516"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 xml:space="preserve">İlk </w:t>
      </w:r>
      <w:proofErr w:type="gramStart"/>
      <w:r w:rsidRPr="00395408">
        <w:rPr>
          <w:rFonts w:ascii="Times New Roman" w:eastAsia="Times New Roman" w:hAnsi="Times New Roman" w:cs="Times New Roman"/>
          <w:kern w:val="0"/>
          <w:szCs w:val="22"/>
          <w14:ligatures w14:val="none"/>
        </w:rPr>
        <w:t>yaklaşım :</w:t>
      </w:r>
      <w:proofErr w:type="gramEnd"/>
    </w:p>
    <w:p w14:paraId="33DA7AFD"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 xml:space="preserve">Havayolu–solunum–dolaşım kontrolü </w:t>
      </w:r>
    </w:p>
    <w:p w14:paraId="5FAD0843"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Hipoglisemi varsa glukoz desteği</w:t>
      </w:r>
    </w:p>
    <w:p w14:paraId="0C22CFB4"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Kusma/aspirasyon riski için yan yatırma, gözlem</w:t>
      </w:r>
    </w:p>
    <w:p w14:paraId="2E86EC4E"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Şüpheli ek madde alımı varsa (ilaç, uyuşturucu) ayırıcı tanı düşünülür.</w:t>
      </w:r>
    </w:p>
    <w:p w14:paraId="092443DB"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lastRenderedPageBreak/>
        <w:t>Vaka 2 — Amonyak maruziyeti (Ev tipi temizlik)</w:t>
      </w:r>
    </w:p>
    <w:p w14:paraId="4F4BE207"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Hasta: 35 yaş, kadın</w:t>
      </w:r>
    </w:p>
    <w:p w14:paraId="2D2B0C99"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Başvuru nedeni: “Gözde yanma, boğazda tahriş, öksürük”</w:t>
      </w:r>
    </w:p>
    <w:p w14:paraId="678F0C31"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Öykü: Banyoda temizlik yaparken amonyaklı temizleyici kullanmış, ortam havalandırması yetersizmiş. 10–15 dakika sonra belirtiler başlamış.</w:t>
      </w:r>
    </w:p>
    <w:p w14:paraId="75D39FFF"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Muayene (özet):</w:t>
      </w:r>
    </w:p>
    <w:p w14:paraId="52ADDE90"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Göz: kızarıklık, yoğun yaşarma</w:t>
      </w:r>
    </w:p>
    <w:p w14:paraId="73402DED"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Üst solunum yolu: boğazda yanma, öksürük</w:t>
      </w:r>
    </w:p>
    <w:p w14:paraId="002EC15B"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Solunum: hafif nefes darlığı ama konuşabiliyor</w:t>
      </w:r>
    </w:p>
    <w:p w14:paraId="1CBC7509"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Değerlendirme/İpucu:</w:t>
      </w:r>
    </w:p>
    <w:p w14:paraId="04E29DDC"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Amonyak irritan bir gaz → göz ve solunum yolu şikâyetleri ön planda.</w:t>
      </w:r>
    </w:p>
    <w:p w14:paraId="04CEBCA5"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İlk yaklaşım:</w:t>
      </w:r>
    </w:p>
    <w:p w14:paraId="0A27B081"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Hastayı temiz havaya çıkarma / ortamı havalandırma</w:t>
      </w:r>
    </w:p>
    <w:p w14:paraId="2FAAFEEF"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Göz temasında bol su/serum fizyolojik ile yıkama</w:t>
      </w:r>
    </w:p>
    <w:p w14:paraId="4E02E7E5"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Cilt temasında suyla yıkama, kontamine kıyafeti çıkarma</w:t>
      </w:r>
    </w:p>
    <w:p w14:paraId="60872A8F" w14:textId="77777777" w:rsidR="00395408" w:rsidRPr="00395408" w:rsidRDefault="00395408" w:rsidP="00395408">
      <w:pPr>
        <w:ind w:firstLine="708"/>
        <w:rPr>
          <w:rFonts w:ascii="Times New Roman" w:eastAsia="Times New Roman" w:hAnsi="Times New Roman" w:cs="Times New Roman"/>
          <w:kern w:val="0"/>
          <w:szCs w:val="22"/>
          <w14:ligatures w14:val="none"/>
        </w:rPr>
      </w:pPr>
      <w:r w:rsidRPr="00395408">
        <w:rPr>
          <w:rFonts w:ascii="Times New Roman" w:eastAsia="Times New Roman" w:hAnsi="Times New Roman" w:cs="Times New Roman"/>
          <w:kern w:val="0"/>
          <w:szCs w:val="22"/>
          <w14:ligatures w14:val="none"/>
        </w:rPr>
        <w:t>Nefes darlığı artarsa/ıslık sesli solunum olursa sağlık kuruluşunda değerlendirme (gerekirse bronkodilatör, oksijen).</w:t>
      </w:r>
    </w:p>
    <w:p w14:paraId="756DA28C" w14:textId="6325B66F" w:rsidR="00DB72B9" w:rsidRDefault="0022500F" w:rsidP="00924093">
      <w:pPr>
        <w:jc w:val="both"/>
        <w:rPr>
          <w:rFonts w:ascii="Times New Roman" w:hAnsi="Times New Roman" w:cs="Times New Roman"/>
          <w:b/>
          <w:bCs/>
        </w:rPr>
      </w:pPr>
      <w:r>
        <w:rPr>
          <w:rFonts w:ascii="Times New Roman" w:hAnsi="Times New Roman" w:cs="Times New Roman"/>
          <w:b/>
          <w:bCs/>
        </w:rPr>
        <w:t>2</w:t>
      </w:r>
      <w:r w:rsidR="00CD7DA4">
        <w:rPr>
          <w:rFonts w:ascii="Times New Roman" w:hAnsi="Times New Roman" w:cs="Times New Roman"/>
          <w:b/>
          <w:bCs/>
        </w:rPr>
        <w:t xml:space="preserve">. </w:t>
      </w:r>
      <w:r w:rsidR="00E52DCF" w:rsidRPr="00E52DCF">
        <w:rPr>
          <w:rFonts w:ascii="Times New Roman" w:hAnsi="Times New Roman" w:cs="Times New Roman"/>
          <w:b/>
          <w:bCs/>
        </w:rPr>
        <w:t>SPEKTROFOTOMETRİK ANALİZLER</w:t>
      </w:r>
    </w:p>
    <w:p w14:paraId="47EC7E52" w14:textId="7582632C" w:rsidR="00E52DCF" w:rsidRPr="00E52DCF" w:rsidRDefault="00E52DCF" w:rsidP="00924093">
      <w:pPr>
        <w:jc w:val="both"/>
        <w:rPr>
          <w:rFonts w:ascii="Times New Roman" w:hAnsi="Times New Roman" w:cs="Times New Roman"/>
        </w:rPr>
      </w:pPr>
      <w:r w:rsidRPr="00E52DCF">
        <w:rPr>
          <w:rFonts w:ascii="Times New Roman" w:hAnsi="Times New Roman" w:cs="Times New Roman"/>
        </w:rPr>
        <w:t>Spektroskopi, atom ve moleküllerin elektromanyetik ışıma (radyasyon) ile etkileşimini inceleyen yöntemler bütünüdür. Bu yaklaşımlarda; örnekte bulunan atom, molekül ya da iyonların enerji düzeyleri arasında geçişleri sırasında absorplanan veya yayılan elektromanyetik ışıma ölçülür ve elde edilen veriler yorumlanır.</w:t>
      </w:r>
    </w:p>
    <w:p w14:paraId="1E093C42" w14:textId="77777777" w:rsidR="00AF6EA5" w:rsidRPr="00AF6EA5" w:rsidRDefault="00AF6EA5" w:rsidP="00AF6EA5">
      <w:pPr>
        <w:jc w:val="both"/>
        <w:rPr>
          <w:rFonts w:ascii="Times New Roman" w:hAnsi="Times New Roman" w:cs="Times New Roman"/>
          <w:b/>
          <w:bCs/>
        </w:rPr>
      </w:pPr>
      <w:r w:rsidRPr="00AF6EA5">
        <w:rPr>
          <w:rFonts w:ascii="Times New Roman" w:hAnsi="Times New Roman" w:cs="Times New Roman"/>
          <w:b/>
          <w:bCs/>
        </w:rPr>
        <w:t>Absorpsiyon</w:t>
      </w:r>
    </w:p>
    <w:p w14:paraId="7C09141B"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t>Absorpsiyon, bir maddeye gönderilen ışığın bir kısmının madde tarafından tutulmasıdır. Işığın etkisiyle moleküldeki valans elektronları uyarılır (eksitasyon) ve daha yüksek bir enerji seviyesine geçer.</w:t>
      </w:r>
    </w:p>
    <w:p w14:paraId="785352A2" w14:textId="77777777" w:rsidR="00AF6EA5" w:rsidRPr="00AF6EA5" w:rsidRDefault="00AF6EA5" w:rsidP="00AF6EA5">
      <w:pPr>
        <w:jc w:val="both"/>
        <w:rPr>
          <w:rFonts w:ascii="Times New Roman" w:hAnsi="Times New Roman" w:cs="Times New Roman"/>
          <w:b/>
          <w:bCs/>
        </w:rPr>
      </w:pPr>
      <w:r w:rsidRPr="00AF6EA5">
        <w:rPr>
          <w:rFonts w:ascii="Times New Roman" w:hAnsi="Times New Roman" w:cs="Times New Roman"/>
          <w:b/>
          <w:bCs/>
        </w:rPr>
        <w:t>Emisyon</w:t>
      </w:r>
    </w:p>
    <w:p w14:paraId="29F6DBE6"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t>Emisyon ise, uyarılmış (eksite) durumdaki maddenin fazla enerjisini ışıma şeklinde geri vererek daha kararlı (daha düşük enerjili) hale dönmesidir.</w:t>
      </w:r>
    </w:p>
    <w:p w14:paraId="179442B9" w14:textId="77777777" w:rsidR="00AF6EA5" w:rsidRPr="00AF6EA5" w:rsidRDefault="00AF6EA5" w:rsidP="00AF6EA5">
      <w:pPr>
        <w:jc w:val="both"/>
        <w:rPr>
          <w:rFonts w:ascii="Times New Roman" w:hAnsi="Times New Roman" w:cs="Times New Roman"/>
          <w:b/>
          <w:bCs/>
        </w:rPr>
      </w:pPr>
      <w:r w:rsidRPr="00AF6EA5">
        <w:rPr>
          <w:rFonts w:ascii="Times New Roman" w:hAnsi="Times New Roman" w:cs="Times New Roman"/>
          <w:b/>
          <w:bCs/>
        </w:rPr>
        <w:t>Elektromanyetik ışıma ve spektrum kavramı</w:t>
      </w:r>
    </w:p>
    <w:p w14:paraId="2E819EF0"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t>Elektromanyetik radyasyon, enerjinin bir formudur ve atomik yapıdan kaynaklanır. Bu ışıma hem dalga hem de parçacık (foton) özelliği taşır.</w:t>
      </w:r>
    </w:p>
    <w:p w14:paraId="3DBB2C16"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lastRenderedPageBreak/>
        <w:t>Moleküller belirli enerji düzeylerine sahiptir. Temel durumda (ground state) bulunan bir molekül, uygun frekansta bir radyasyonla karşılaştığında enerjisi artıyorsa bu durum absorpsiyonun gerçekleştiğini gösterir. Molekül tarafından absorplanan radyasyonun dalga boyu veya frekansa göre grafiği çizildiğinde absorpsiyon spektrumu elde edilir.</w:t>
      </w:r>
    </w:p>
    <w:p w14:paraId="50972C18"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t>Özellikle UV ve görünür bölge ışınımının absorpsiyonu ile elde edilen spektrum, molekülün elektronik spektrumu olarak adlandırılır.</w:t>
      </w:r>
    </w:p>
    <w:p w14:paraId="1B120923" w14:textId="77777777" w:rsidR="00AF6EA5" w:rsidRPr="00AF6EA5" w:rsidRDefault="00AF6EA5" w:rsidP="00AF6EA5">
      <w:pPr>
        <w:jc w:val="both"/>
        <w:rPr>
          <w:rFonts w:ascii="Times New Roman" w:hAnsi="Times New Roman" w:cs="Times New Roman"/>
          <w:b/>
          <w:bCs/>
        </w:rPr>
      </w:pPr>
      <w:r w:rsidRPr="00AF6EA5">
        <w:rPr>
          <w:rFonts w:ascii="Times New Roman" w:hAnsi="Times New Roman" w:cs="Times New Roman"/>
          <w:b/>
          <w:bCs/>
        </w:rPr>
        <w:t>Cihazlar</w:t>
      </w:r>
    </w:p>
    <w:p w14:paraId="6386E225"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b/>
          <w:bCs/>
        </w:rPr>
        <w:t xml:space="preserve">Spektrometre: </w:t>
      </w:r>
      <w:r w:rsidRPr="00AF6EA5">
        <w:rPr>
          <w:rFonts w:ascii="Times New Roman" w:hAnsi="Times New Roman" w:cs="Times New Roman"/>
        </w:rPr>
        <w:t>Spektrum elde etmeye yarayan genel cihaz adıdır.</w:t>
      </w:r>
    </w:p>
    <w:p w14:paraId="03D63B36"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b/>
          <w:bCs/>
        </w:rPr>
        <w:t>Spektrofotometre</w:t>
      </w:r>
      <w:r w:rsidRPr="00AF6EA5">
        <w:rPr>
          <w:rFonts w:ascii="Times New Roman" w:hAnsi="Times New Roman" w:cs="Times New Roman"/>
        </w:rPr>
        <w:t>: Örnekten geçen ışığın şiddetini bir dedektör (fotosel) ile ölçerek nicel sonuç veren spektrometre türüdür.</w:t>
      </w:r>
    </w:p>
    <w:p w14:paraId="3966BDAF"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t>Spektrofotometrenin temel bölümleri</w:t>
      </w:r>
    </w:p>
    <w:p w14:paraId="33AFFC0B"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t>Spektrofotometreler genel olarak 5 ana kısımdan oluşur:</w:t>
      </w:r>
    </w:p>
    <w:p w14:paraId="19EEC029"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t>Işık kaynağı</w:t>
      </w:r>
    </w:p>
    <w:p w14:paraId="2137A3A6"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t>Monokromatör (belirli dalga boyunu seçer)</w:t>
      </w:r>
    </w:p>
    <w:p w14:paraId="5166E3CB"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t>Örnek bölmesi (küvet/örnek yeri)</w:t>
      </w:r>
    </w:p>
    <w:p w14:paraId="21E31EE4" w14:textId="77777777" w:rsidR="00AF6EA5" w:rsidRPr="00AF6EA5" w:rsidRDefault="00AF6EA5" w:rsidP="00AF6EA5">
      <w:pPr>
        <w:jc w:val="both"/>
        <w:rPr>
          <w:rFonts w:ascii="Times New Roman" w:hAnsi="Times New Roman" w:cs="Times New Roman"/>
        </w:rPr>
      </w:pPr>
      <w:r w:rsidRPr="00AF6EA5">
        <w:rPr>
          <w:rFonts w:ascii="Times New Roman" w:hAnsi="Times New Roman" w:cs="Times New Roman"/>
        </w:rPr>
        <w:t>Dedektör</w:t>
      </w:r>
    </w:p>
    <w:p w14:paraId="7F300868" w14:textId="1DDE8FBB" w:rsidR="00DB72B9" w:rsidRDefault="00AF6EA5" w:rsidP="00AF6EA5">
      <w:pPr>
        <w:jc w:val="both"/>
        <w:rPr>
          <w:rFonts w:ascii="Times New Roman" w:hAnsi="Times New Roman" w:cs="Times New Roman"/>
          <w:b/>
          <w:bCs/>
        </w:rPr>
      </w:pPr>
      <w:r w:rsidRPr="00AF6EA5">
        <w:rPr>
          <w:rFonts w:ascii="Times New Roman" w:hAnsi="Times New Roman" w:cs="Times New Roman"/>
        </w:rPr>
        <w:t>Kaydedici/okuyucu sistem</w:t>
      </w:r>
    </w:p>
    <w:p w14:paraId="7CD563C7" w14:textId="77777777" w:rsidR="00DB72B9" w:rsidRDefault="00DB72B9" w:rsidP="00924093">
      <w:pPr>
        <w:jc w:val="both"/>
        <w:rPr>
          <w:rFonts w:ascii="Times New Roman" w:hAnsi="Times New Roman" w:cs="Times New Roman"/>
          <w:b/>
          <w:bCs/>
        </w:rPr>
      </w:pPr>
    </w:p>
    <w:p w14:paraId="46614142" w14:textId="714672B6" w:rsidR="00DB72B9" w:rsidRDefault="00A531E1" w:rsidP="00924093">
      <w:pPr>
        <w:jc w:val="both"/>
        <w:rPr>
          <w:rFonts w:ascii="Times New Roman" w:hAnsi="Times New Roman" w:cs="Times New Roman"/>
          <w:b/>
          <w:bCs/>
        </w:rPr>
      </w:pPr>
      <w:r w:rsidRPr="00C964C0">
        <w:rPr>
          <w:rFonts w:ascii="Times New Roman" w:hAnsi="Times New Roman" w:cs="Times New Roman"/>
          <w:b/>
          <w:bCs/>
          <w:noProof/>
        </w:rPr>
        <w:drawing>
          <wp:anchor distT="0" distB="0" distL="114300" distR="114300" simplePos="0" relativeHeight="251682816" behindDoc="0" locked="0" layoutInCell="1" allowOverlap="1" wp14:anchorId="21D4567B" wp14:editId="3DEEDC3D">
            <wp:simplePos x="0" y="0"/>
            <wp:positionH relativeFrom="margin">
              <wp:posOffset>534035</wp:posOffset>
            </wp:positionH>
            <wp:positionV relativeFrom="page">
              <wp:posOffset>1369060</wp:posOffset>
            </wp:positionV>
            <wp:extent cx="4742815" cy="1917700"/>
            <wp:effectExtent l="0" t="0" r="635" b="6350"/>
            <wp:wrapTopAndBottom/>
            <wp:docPr id="407121946" name="Resim 9" descr="metin, diyagram, yazı tipi,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21946" name="Resim 9" descr="metin, diyagram, yazı tipi, çizg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2815" cy="191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rPr>
        <w:t xml:space="preserve">             </w:t>
      </w:r>
      <w:r w:rsidRPr="00A531E1">
        <w:rPr>
          <w:rFonts w:ascii="Times New Roman" w:hAnsi="Times New Roman" w:cs="Times New Roman"/>
          <w:i/>
          <w:iCs/>
          <w:sz w:val="22"/>
          <w:szCs w:val="22"/>
        </w:rPr>
        <w:t xml:space="preserve"> </w:t>
      </w:r>
      <w:r>
        <w:rPr>
          <w:rFonts w:ascii="Times New Roman" w:hAnsi="Times New Roman" w:cs="Times New Roman"/>
          <w:i/>
          <w:iCs/>
          <w:sz w:val="22"/>
          <w:szCs w:val="22"/>
        </w:rPr>
        <w:t xml:space="preserve">                             </w:t>
      </w:r>
    </w:p>
    <w:p w14:paraId="6203A804" w14:textId="77777777" w:rsidR="00DB72B9" w:rsidRDefault="00DB72B9" w:rsidP="00924093">
      <w:pPr>
        <w:jc w:val="both"/>
        <w:rPr>
          <w:rFonts w:ascii="Times New Roman" w:hAnsi="Times New Roman" w:cs="Times New Roman"/>
          <w:b/>
          <w:bCs/>
        </w:rPr>
      </w:pPr>
    </w:p>
    <w:p w14:paraId="72072EF8" w14:textId="16A21CB9" w:rsidR="00DB72B9" w:rsidRDefault="00A531E1" w:rsidP="00924093">
      <w:pPr>
        <w:jc w:val="both"/>
        <w:rPr>
          <w:rFonts w:ascii="Times New Roman" w:hAnsi="Times New Roman" w:cs="Times New Roman"/>
          <w:i/>
          <w:iCs/>
          <w:sz w:val="20"/>
          <w:szCs w:val="20"/>
        </w:rPr>
      </w:pPr>
      <w:r>
        <w:rPr>
          <w:rFonts w:ascii="Times New Roman" w:hAnsi="Times New Roman" w:cs="Times New Roman"/>
          <w:b/>
          <w:bCs/>
        </w:rPr>
        <w:t xml:space="preserve">                           </w:t>
      </w:r>
      <w:r w:rsidRPr="00A531E1">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r w:rsidRPr="00A531E1">
        <w:rPr>
          <w:rFonts w:ascii="Times New Roman" w:hAnsi="Times New Roman" w:cs="Times New Roman"/>
          <w:i/>
          <w:iCs/>
          <w:sz w:val="20"/>
          <w:szCs w:val="20"/>
        </w:rPr>
        <w:t xml:space="preserve">Şekil </w:t>
      </w:r>
      <w:r w:rsidR="004F428C">
        <w:rPr>
          <w:rFonts w:ascii="Times New Roman" w:hAnsi="Times New Roman" w:cs="Times New Roman"/>
          <w:i/>
          <w:iCs/>
          <w:sz w:val="20"/>
          <w:szCs w:val="20"/>
        </w:rPr>
        <w:t>1</w:t>
      </w:r>
      <w:r w:rsidRPr="00A531E1">
        <w:rPr>
          <w:rFonts w:ascii="Times New Roman" w:hAnsi="Times New Roman" w:cs="Times New Roman"/>
          <w:i/>
          <w:iCs/>
          <w:sz w:val="20"/>
          <w:szCs w:val="20"/>
        </w:rPr>
        <w:t>. Spektrofotometrenin bölümleri</w:t>
      </w:r>
    </w:p>
    <w:p w14:paraId="065336E0" w14:textId="77777777" w:rsidR="00E32E6C" w:rsidRDefault="00E32E6C" w:rsidP="00924093">
      <w:pPr>
        <w:jc w:val="both"/>
        <w:rPr>
          <w:rFonts w:ascii="Times New Roman" w:hAnsi="Times New Roman" w:cs="Times New Roman"/>
          <w:b/>
          <w:bCs/>
          <w:i/>
          <w:iCs/>
          <w:sz w:val="20"/>
          <w:szCs w:val="20"/>
        </w:rPr>
      </w:pPr>
    </w:p>
    <w:p w14:paraId="2E1BA287" w14:textId="77777777" w:rsidR="001663F2" w:rsidRDefault="001663F2" w:rsidP="00924093">
      <w:pPr>
        <w:jc w:val="both"/>
        <w:rPr>
          <w:rFonts w:ascii="Times New Roman" w:hAnsi="Times New Roman" w:cs="Times New Roman"/>
          <w:b/>
          <w:bCs/>
          <w:i/>
          <w:iCs/>
          <w:sz w:val="20"/>
          <w:szCs w:val="20"/>
        </w:rPr>
      </w:pPr>
    </w:p>
    <w:p w14:paraId="583A9CFA" w14:textId="77777777" w:rsidR="001663F2" w:rsidRDefault="001663F2" w:rsidP="00924093">
      <w:pPr>
        <w:jc w:val="both"/>
        <w:rPr>
          <w:rFonts w:ascii="Times New Roman" w:hAnsi="Times New Roman" w:cs="Times New Roman"/>
          <w:b/>
          <w:bCs/>
          <w:i/>
          <w:iCs/>
          <w:sz w:val="20"/>
          <w:szCs w:val="20"/>
        </w:rPr>
      </w:pPr>
    </w:p>
    <w:p w14:paraId="6771838B" w14:textId="77777777" w:rsidR="001663F2" w:rsidRPr="00E32E6C" w:rsidRDefault="001663F2" w:rsidP="00924093">
      <w:pPr>
        <w:jc w:val="both"/>
        <w:rPr>
          <w:rFonts w:ascii="Times New Roman" w:hAnsi="Times New Roman" w:cs="Times New Roman"/>
          <w:b/>
          <w:bCs/>
          <w:i/>
          <w:iCs/>
          <w:sz w:val="20"/>
          <w:szCs w:val="20"/>
        </w:rPr>
      </w:pPr>
    </w:p>
    <w:p w14:paraId="1B09553D" w14:textId="77777777" w:rsidR="00E32E6C" w:rsidRPr="00E32E6C" w:rsidRDefault="00E32E6C" w:rsidP="00E32E6C">
      <w:pPr>
        <w:jc w:val="both"/>
        <w:rPr>
          <w:rFonts w:ascii="Times New Roman" w:hAnsi="Times New Roman" w:cs="Times New Roman"/>
        </w:rPr>
      </w:pPr>
      <w:r w:rsidRPr="00E32E6C">
        <w:rPr>
          <w:rFonts w:ascii="Times New Roman" w:hAnsi="Times New Roman" w:cs="Times New Roman"/>
          <w:b/>
          <w:bCs/>
        </w:rPr>
        <w:lastRenderedPageBreak/>
        <w:t>Elektromanyetik Radyasyonu Tanımlayan Nicelikler</w:t>
      </w:r>
    </w:p>
    <w:p w14:paraId="76784E80" w14:textId="7293A681" w:rsidR="00A531E1" w:rsidRDefault="00E32E6C" w:rsidP="00E32E6C">
      <w:pPr>
        <w:jc w:val="both"/>
        <w:rPr>
          <w:rFonts w:ascii="Times New Roman" w:hAnsi="Times New Roman" w:cs="Times New Roman"/>
        </w:rPr>
      </w:pPr>
      <w:r w:rsidRPr="00E32E6C">
        <w:rPr>
          <w:rFonts w:ascii="Times New Roman" w:hAnsi="Times New Roman" w:cs="Times New Roman"/>
        </w:rPr>
        <w:t>Dalga boyu (λ): Bir dalga üzerindeki ardışık iki tepe (maksimum) ya da iki çukur (minimum) noktası arasındaki doğrusal mesafeyi ifade eder (bkz. Şekil 3). Dalga boyu genellikle nanometre (nm), angstrom (Å) veya milimikron (mµ) birimleriyle gösterilir</w:t>
      </w:r>
      <w:r w:rsidR="00F55139">
        <w:rPr>
          <w:rFonts w:ascii="Times New Roman" w:hAnsi="Times New Roman" w:cs="Times New Roman"/>
        </w:rPr>
        <w:t>.</w:t>
      </w:r>
    </w:p>
    <w:p w14:paraId="07DC8687" w14:textId="4661FD06" w:rsidR="00427263" w:rsidRPr="00427263" w:rsidRDefault="00427263" w:rsidP="00427263">
      <w:pPr>
        <w:jc w:val="both"/>
        <w:rPr>
          <w:rFonts w:ascii="Times New Roman" w:hAnsi="Times New Roman" w:cs="Times New Roman"/>
          <w:i/>
          <w:iCs/>
          <w:sz w:val="20"/>
          <w:szCs w:val="20"/>
        </w:rPr>
      </w:pPr>
    </w:p>
    <w:p w14:paraId="397A7F25" w14:textId="38349EAE" w:rsidR="00F55139" w:rsidRDefault="00427263" w:rsidP="00E32E6C">
      <w:pPr>
        <w:jc w:val="both"/>
        <w:rPr>
          <w:rFonts w:ascii="Times New Roman" w:hAnsi="Times New Roman" w:cs="Times New Roman"/>
          <w:i/>
          <w:iCs/>
          <w:sz w:val="20"/>
          <w:szCs w:val="20"/>
        </w:rPr>
      </w:pPr>
      <w:r w:rsidRPr="00427263">
        <w:rPr>
          <w:rFonts w:ascii="Times New Roman" w:hAnsi="Times New Roman" w:cs="Times New Roman"/>
          <w:i/>
          <w:iCs/>
          <w:noProof/>
          <w:sz w:val="20"/>
          <w:szCs w:val="20"/>
        </w:rPr>
        <w:drawing>
          <wp:anchor distT="0" distB="0" distL="114300" distR="114300" simplePos="0" relativeHeight="251684864" behindDoc="0" locked="0" layoutInCell="1" allowOverlap="1" wp14:anchorId="1AA6B0E2" wp14:editId="37E7427F">
            <wp:simplePos x="0" y="0"/>
            <wp:positionH relativeFrom="margin">
              <wp:align>right</wp:align>
            </wp:positionH>
            <wp:positionV relativeFrom="paragraph">
              <wp:posOffset>158115</wp:posOffset>
            </wp:positionV>
            <wp:extent cx="5760085" cy="1842135"/>
            <wp:effectExtent l="0" t="0" r="0" b="5715"/>
            <wp:wrapTopAndBottom/>
            <wp:docPr id="1802718204" name="Resim 10" descr="çizgi, diyagram, öykü gelişim çizgisi; kumpas; grafiğini çıkarma, metin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18204" name="Resim 10" descr="çizgi, diyagram, öykü gelişim çizgisi; kumpas; grafiğini çıkarma, metin içeren bir resi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1842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39730C" w14:textId="77777777" w:rsidR="000D5344" w:rsidRPr="000D5344" w:rsidRDefault="000D5344" w:rsidP="000D5344">
      <w:pPr>
        <w:rPr>
          <w:rFonts w:ascii="Times New Roman" w:hAnsi="Times New Roman" w:cs="Times New Roman"/>
          <w:sz w:val="20"/>
          <w:szCs w:val="20"/>
        </w:rPr>
      </w:pPr>
    </w:p>
    <w:p w14:paraId="2A851BCE" w14:textId="6434A45F" w:rsidR="000D5344" w:rsidRPr="000D5344" w:rsidRDefault="000D5344" w:rsidP="000D5344">
      <w:pPr>
        <w:tabs>
          <w:tab w:val="left" w:pos="1257"/>
        </w:tabs>
        <w:rPr>
          <w:rFonts w:ascii="Times New Roman" w:hAnsi="Times New Roman" w:cs="Times New Roman"/>
          <w:i/>
          <w:iCs/>
          <w:sz w:val="20"/>
          <w:szCs w:val="20"/>
        </w:rPr>
      </w:pPr>
      <w:r>
        <w:rPr>
          <w:rFonts w:ascii="Times New Roman" w:hAnsi="Times New Roman" w:cs="Times New Roman"/>
          <w:sz w:val="20"/>
          <w:szCs w:val="20"/>
        </w:rPr>
        <w:tab/>
      </w:r>
      <w:r w:rsidRPr="000D5344">
        <w:rPr>
          <w:rFonts w:ascii="Times New Roman" w:hAnsi="Times New Roman" w:cs="Times New Roman"/>
          <w:i/>
          <w:iCs/>
          <w:sz w:val="20"/>
          <w:szCs w:val="20"/>
        </w:rPr>
        <w:t xml:space="preserve">Şekil </w:t>
      </w:r>
      <w:r w:rsidR="004F428C">
        <w:rPr>
          <w:rFonts w:ascii="Times New Roman" w:hAnsi="Times New Roman" w:cs="Times New Roman"/>
          <w:i/>
          <w:iCs/>
          <w:sz w:val="20"/>
          <w:szCs w:val="20"/>
        </w:rPr>
        <w:t>2</w:t>
      </w:r>
      <w:r w:rsidRPr="000D5344">
        <w:rPr>
          <w:rFonts w:ascii="Times New Roman" w:hAnsi="Times New Roman" w:cs="Times New Roman"/>
          <w:i/>
          <w:iCs/>
          <w:sz w:val="20"/>
          <w:szCs w:val="20"/>
        </w:rPr>
        <w:t>. Dalga boyunun şematik gösterimi.</w:t>
      </w:r>
    </w:p>
    <w:p w14:paraId="406E5030" w14:textId="77777777" w:rsidR="000D5344" w:rsidRPr="008B530B" w:rsidRDefault="000D5344" w:rsidP="000D5344">
      <w:pPr>
        <w:rPr>
          <w:rFonts w:ascii="Times New Roman" w:hAnsi="Times New Roman" w:cs="Times New Roman"/>
        </w:rPr>
      </w:pPr>
    </w:p>
    <w:p w14:paraId="69958F5F" w14:textId="618BC54F" w:rsidR="00243B50" w:rsidRPr="008B530B" w:rsidRDefault="00243B50" w:rsidP="00243B50">
      <w:pPr>
        <w:rPr>
          <w:rFonts w:ascii="Times New Roman" w:hAnsi="Times New Roman" w:cs="Times New Roman"/>
        </w:rPr>
      </w:pPr>
      <w:r w:rsidRPr="008B530B">
        <w:rPr>
          <w:rFonts w:ascii="Times New Roman" w:hAnsi="Times New Roman" w:cs="Times New Roman"/>
        </w:rPr>
        <w:t>Frekans (ν): Bir ışınımın saniyedeki titreşim/devir sayısıdır; başka bir ifadeyle belirli bir noktadan birim zamanda geçen dalga sayısını gösterir. Birimi s⁻¹ veya Hertz (Hz)’dir.</w:t>
      </w:r>
    </w:p>
    <w:p w14:paraId="002EFA14" w14:textId="77777777" w:rsidR="00243B50" w:rsidRPr="008B530B" w:rsidRDefault="00243B50" w:rsidP="00243B50">
      <w:pPr>
        <w:rPr>
          <w:rFonts w:ascii="Times New Roman" w:hAnsi="Times New Roman" w:cs="Times New Roman"/>
        </w:rPr>
      </w:pPr>
      <w:r w:rsidRPr="008B530B">
        <w:rPr>
          <w:rFonts w:ascii="Times New Roman" w:hAnsi="Times New Roman" w:cs="Times New Roman"/>
        </w:rPr>
        <w:t>Periyot (t): Dalganın bir tam çevrimi (1 devir) tamamlaması için geçen süredir. Frekans ile ters orantılıdır (t = 1/ν). Birimi s/devir şeklinde ifade edilebilir.</w:t>
      </w:r>
    </w:p>
    <w:p w14:paraId="234C5D5B" w14:textId="200A8430" w:rsidR="000D5344" w:rsidRPr="008B530B" w:rsidRDefault="00243B50" w:rsidP="00243B50">
      <w:pPr>
        <w:rPr>
          <w:rFonts w:ascii="Times New Roman" w:hAnsi="Times New Roman" w:cs="Times New Roman"/>
        </w:rPr>
      </w:pPr>
      <w:r w:rsidRPr="008B530B">
        <w:rPr>
          <w:rFonts w:ascii="Times New Roman" w:hAnsi="Times New Roman" w:cs="Times New Roman"/>
        </w:rPr>
        <w:t>Dalga sayısı (ṽ): Birim uzunlukta (genellikle 1 cm’de) bulunan dalga sayısını belirtir. Dalga boyu (λ) ile ters orantılıdır (ṽ = 1/λ). Birimi çoğunlukla cm⁻¹’dir.</w:t>
      </w:r>
    </w:p>
    <w:p w14:paraId="578A7723" w14:textId="77777777" w:rsidR="000D5344" w:rsidRPr="008B530B" w:rsidRDefault="000D5344" w:rsidP="000D5344">
      <w:pPr>
        <w:rPr>
          <w:rFonts w:ascii="Times New Roman" w:hAnsi="Times New Roman" w:cs="Times New Roman"/>
        </w:rPr>
      </w:pPr>
    </w:p>
    <w:p w14:paraId="6232B996" w14:textId="60532838" w:rsidR="000D5344" w:rsidRPr="008B530B" w:rsidRDefault="00C61EEB" w:rsidP="000D5344">
      <w:pPr>
        <w:rPr>
          <w:rFonts w:ascii="Times New Roman" w:hAnsi="Times New Roman" w:cs="Times New Roman"/>
        </w:rPr>
      </w:pPr>
      <w:r w:rsidRPr="008B530B">
        <w:rPr>
          <w:rFonts w:ascii="Times New Roman" w:hAnsi="Times New Roman" w:cs="Times New Roman"/>
        </w:rPr>
        <w:t xml:space="preserve">Tablo </w:t>
      </w:r>
      <w:r w:rsidR="004F428C" w:rsidRPr="008B530B">
        <w:rPr>
          <w:rFonts w:ascii="Times New Roman" w:hAnsi="Times New Roman" w:cs="Times New Roman"/>
        </w:rPr>
        <w:t>1</w:t>
      </w:r>
      <w:r w:rsidRPr="008B530B">
        <w:rPr>
          <w:rFonts w:ascii="Times New Roman" w:hAnsi="Times New Roman" w:cs="Times New Roman"/>
        </w:rPr>
        <w:t>. UV, görünür bölge ve yakın kızılötesi (IR) spektrum özellikleri</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9"/>
        <w:gridCol w:w="2429"/>
        <w:gridCol w:w="2700"/>
      </w:tblGrid>
      <w:tr w:rsidR="00236AF4" w:rsidRPr="00236AF4" w14:paraId="23DA1267" w14:textId="77777777" w:rsidTr="00117CF5">
        <w:trPr>
          <w:trHeight w:val="532"/>
        </w:trPr>
        <w:tc>
          <w:tcPr>
            <w:tcW w:w="2799" w:type="dxa"/>
          </w:tcPr>
          <w:p w14:paraId="7D71C86F" w14:textId="77777777" w:rsidR="00236AF4" w:rsidRPr="00236AF4" w:rsidRDefault="00236AF4" w:rsidP="00236AF4">
            <w:pPr>
              <w:rPr>
                <w:rFonts w:ascii="Times New Roman" w:hAnsi="Times New Roman" w:cs="Times New Roman"/>
                <w:b/>
              </w:rPr>
            </w:pPr>
            <w:r w:rsidRPr="00236AF4">
              <w:rPr>
                <w:rFonts w:ascii="Times New Roman" w:hAnsi="Times New Roman" w:cs="Times New Roman"/>
                <w:b/>
              </w:rPr>
              <w:t>Dalga Boyu (nm)</w:t>
            </w:r>
          </w:p>
        </w:tc>
        <w:tc>
          <w:tcPr>
            <w:tcW w:w="2429" w:type="dxa"/>
          </w:tcPr>
          <w:p w14:paraId="112353AC" w14:textId="77777777" w:rsidR="00236AF4" w:rsidRPr="00236AF4" w:rsidRDefault="00236AF4" w:rsidP="00236AF4">
            <w:pPr>
              <w:rPr>
                <w:rFonts w:ascii="Times New Roman" w:hAnsi="Times New Roman" w:cs="Times New Roman"/>
                <w:b/>
              </w:rPr>
            </w:pPr>
            <w:r w:rsidRPr="00236AF4">
              <w:rPr>
                <w:rFonts w:ascii="Times New Roman" w:hAnsi="Times New Roman" w:cs="Times New Roman"/>
                <w:b/>
              </w:rPr>
              <w:t>Bölge Adı</w:t>
            </w:r>
          </w:p>
        </w:tc>
        <w:tc>
          <w:tcPr>
            <w:tcW w:w="2700" w:type="dxa"/>
          </w:tcPr>
          <w:p w14:paraId="134D9F04" w14:textId="77777777" w:rsidR="00236AF4" w:rsidRPr="00236AF4" w:rsidRDefault="00236AF4" w:rsidP="00236AF4">
            <w:pPr>
              <w:rPr>
                <w:rFonts w:ascii="Times New Roman" w:hAnsi="Times New Roman" w:cs="Times New Roman"/>
                <w:b/>
              </w:rPr>
            </w:pPr>
            <w:r w:rsidRPr="00236AF4">
              <w:rPr>
                <w:rFonts w:ascii="Times New Roman" w:hAnsi="Times New Roman" w:cs="Times New Roman"/>
                <w:b/>
              </w:rPr>
              <w:t>Gözlenen Renk</w:t>
            </w:r>
          </w:p>
        </w:tc>
      </w:tr>
      <w:tr w:rsidR="00236AF4" w:rsidRPr="00236AF4" w14:paraId="413FE2F7" w14:textId="77777777" w:rsidTr="00117CF5">
        <w:trPr>
          <w:trHeight w:val="534"/>
        </w:trPr>
        <w:tc>
          <w:tcPr>
            <w:tcW w:w="2799" w:type="dxa"/>
          </w:tcPr>
          <w:p w14:paraId="0000CADF"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100 – 200</w:t>
            </w:r>
          </w:p>
        </w:tc>
        <w:tc>
          <w:tcPr>
            <w:tcW w:w="2429" w:type="dxa"/>
          </w:tcPr>
          <w:p w14:paraId="39736B22"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Vakum UV</w:t>
            </w:r>
          </w:p>
        </w:tc>
        <w:tc>
          <w:tcPr>
            <w:tcW w:w="2700" w:type="dxa"/>
          </w:tcPr>
          <w:p w14:paraId="1BE1D1F2"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Renk gözlenmez</w:t>
            </w:r>
          </w:p>
        </w:tc>
      </w:tr>
      <w:tr w:rsidR="00236AF4" w:rsidRPr="00236AF4" w14:paraId="3AF20454" w14:textId="77777777" w:rsidTr="00117CF5">
        <w:trPr>
          <w:trHeight w:val="534"/>
        </w:trPr>
        <w:tc>
          <w:tcPr>
            <w:tcW w:w="2799" w:type="dxa"/>
          </w:tcPr>
          <w:p w14:paraId="4AF30475"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200 – 380</w:t>
            </w:r>
          </w:p>
        </w:tc>
        <w:tc>
          <w:tcPr>
            <w:tcW w:w="2429" w:type="dxa"/>
          </w:tcPr>
          <w:p w14:paraId="67FED777"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Yakın UV</w:t>
            </w:r>
          </w:p>
        </w:tc>
        <w:tc>
          <w:tcPr>
            <w:tcW w:w="2700" w:type="dxa"/>
          </w:tcPr>
          <w:p w14:paraId="369CDDB4"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Renk gözlenmez</w:t>
            </w:r>
          </w:p>
        </w:tc>
      </w:tr>
      <w:tr w:rsidR="00236AF4" w:rsidRPr="00236AF4" w14:paraId="13D278E7" w14:textId="77777777" w:rsidTr="00117CF5">
        <w:trPr>
          <w:trHeight w:val="532"/>
        </w:trPr>
        <w:tc>
          <w:tcPr>
            <w:tcW w:w="2799" w:type="dxa"/>
          </w:tcPr>
          <w:p w14:paraId="719CDE5C"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380 – 440</w:t>
            </w:r>
          </w:p>
        </w:tc>
        <w:tc>
          <w:tcPr>
            <w:tcW w:w="2429" w:type="dxa"/>
          </w:tcPr>
          <w:p w14:paraId="2A0B5314"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Görünür</w:t>
            </w:r>
          </w:p>
        </w:tc>
        <w:tc>
          <w:tcPr>
            <w:tcW w:w="2700" w:type="dxa"/>
          </w:tcPr>
          <w:p w14:paraId="0F7EF039"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Mor</w:t>
            </w:r>
          </w:p>
        </w:tc>
      </w:tr>
      <w:tr w:rsidR="00236AF4" w:rsidRPr="00236AF4" w14:paraId="72AD79E8" w14:textId="77777777" w:rsidTr="00117CF5">
        <w:trPr>
          <w:trHeight w:val="534"/>
        </w:trPr>
        <w:tc>
          <w:tcPr>
            <w:tcW w:w="2799" w:type="dxa"/>
          </w:tcPr>
          <w:p w14:paraId="0C74E042"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440 – 500</w:t>
            </w:r>
          </w:p>
        </w:tc>
        <w:tc>
          <w:tcPr>
            <w:tcW w:w="2429" w:type="dxa"/>
          </w:tcPr>
          <w:p w14:paraId="7ACBE923"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Görünür</w:t>
            </w:r>
          </w:p>
        </w:tc>
        <w:tc>
          <w:tcPr>
            <w:tcW w:w="2700" w:type="dxa"/>
          </w:tcPr>
          <w:p w14:paraId="7BBBE783"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Mavi</w:t>
            </w:r>
          </w:p>
        </w:tc>
      </w:tr>
      <w:tr w:rsidR="00236AF4" w:rsidRPr="00236AF4" w14:paraId="05C8A6B0" w14:textId="77777777" w:rsidTr="00117CF5">
        <w:trPr>
          <w:trHeight w:val="534"/>
        </w:trPr>
        <w:tc>
          <w:tcPr>
            <w:tcW w:w="2799" w:type="dxa"/>
          </w:tcPr>
          <w:p w14:paraId="042ABA16"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500 – 580</w:t>
            </w:r>
          </w:p>
        </w:tc>
        <w:tc>
          <w:tcPr>
            <w:tcW w:w="2429" w:type="dxa"/>
          </w:tcPr>
          <w:p w14:paraId="76319AC2"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Görünür</w:t>
            </w:r>
          </w:p>
        </w:tc>
        <w:tc>
          <w:tcPr>
            <w:tcW w:w="2700" w:type="dxa"/>
          </w:tcPr>
          <w:p w14:paraId="680AEA3A"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Yeşil</w:t>
            </w:r>
          </w:p>
        </w:tc>
      </w:tr>
      <w:tr w:rsidR="00236AF4" w:rsidRPr="00236AF4" w14:paraId="5B855EB9" w14:textId="77777777" w:rsidTr="00117CF5">
        <w:trPr>
          <w:trHeight w:val="533"/>
        </w:trPr>
        <w:tc>
          <w:tcPr>
            <w:tcW w:w="2799" w:type="dxa"/>
          </w:tcPr>
          <w:p w14:paraId="7DAF6BD3"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580 – 600</w:t>
            </w:r>
          </w:p>
        </w:tc>
        <w:tc>
          <w:tcPr>
            <w:tcW w:w="2429" w:type="dxa"/>
          </w:tcPr>
          <w:p w14:paraId="4DC87F34"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Görünür</w:t>
            </w:r>
          </w:p>
        </w:tc>
        <w:tc>
          <w:tcPr>
            <w:tcW w:w="2700" w:type="dxa"/>
          </w:tcPr>
          <w:p w14:paraId="1FC4C9FB"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Sarı</w:t>
            </w:r>
          </w:p>
        </w:tc>
      </w:tr>
      <w:tr w:rsidR="00236AF4" w:rsidRPr="00236AF4" w14:paraId="014C0866" w14:textId="77777777" w:rsidTr="00117CF5">
        <w:trPr>
          <w:trHeight w:val="534"/>
        </w:trPr>
        <w:tc>
          <w:tcPr>
            <w:tcW w:w="2799" w:type="dxa"/>
          </w:tcPr>
          <w:p w14:paraId="268FD66B"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lastRenderedPageBreak/>
              <w:t>600 – 620</w:t>
            </w:r>
          </w:p>
        </w:tc>
        <w:tc>
          <w:tcPr>
            <w:tcW w:w="2429" w:type="dxa"/>
          </w:tcPr>
          <w:p w14:paraId="7721A055"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Görünür</w:t>
            </w:r>
          </w:p>
        </w:tc>
        <w:tc>
          <w:tcPr>
            <w:tcW w:w="2700" w:type="dxa"/>
          </w:tcPr>
          <w:p w14:paraId="6010D86F"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Turuncu</w:t>
            </w:r>
          </w:p>
        </w:tc>
      </w:tr>
      <w:tr w:rsidR="00236AF4" w:rsidRPr="00236AF4" w14:paraId="482E7CD4" w14:textId="77777777" w:rsidTr="00117CF5">
        <w:trPr>
          <w:trHeight w:val="534"/>
        </w:trPr>
        <w:tc>
          <w:tcPr>
            <w:tcW w:w="2799" w:type="dxa"/>
          </w:tcPr>
          <w:p w14:paraId="5CEADE03"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620 – 750</w:t>
            </w:r>
          </w:p>
        </w:tc>
        <w:tc>
          <w:tcPr>
            <w:tcW w:w="2429" w:type="dxa"/>
          </w:tcPr>
          <w:p w14:paraId="3953F255"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Görünür</w:t>
            </w:r>
          </w:p>
        </w:tc>
        <w:tc>
          <w:tcPr>
            <w:tcW w:w="2700" w:type="dxa"/>
          </w:tcPr>
          <w:p w14:paraId="648472A1"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Kırmızı</w:t>
            </w:r>
          </w:p>
        </w:tc>
      </w:tr>
      <w:tr w:rsidR="00236AF4" w:rsidRPr="00236AF4" w14:paraId="44851CF0" w14:textId="77777777" w:rsidTr="00117CF5">
        <w:trPr>
          <w:trHeight w:val="532"/>
        </w:trPr>
        <w:tc>
          <w:tcPr>
            <w:tcW w:w="2799" w:type="dxa"/>
          </w:tcPr>
          <w:p w14:paraId="3A77B1E6"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750 – 2000</w:t>
            </w:r>
          </w:p>
        </w:tc>
        <w:tc>
          <w:tcPr>
            <w:tcW w:w="2429" w:type="dxa"/>
          </w:tcPr>
          <w:p w14:paraId="1CF09914"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Yakın IR</w:t>
            </w:r>
          </w:p>
        </w:tc>
        <w:tc>
          <w:tcPr>
            <w:tcW w:w="2700" w:type="dxa"/>
          </w:tcPr>
          <w:p w14:paraId="552D438B" w14:textId="77777777" w:rsidR="00236AF4" w:rsidRPr="00236AF4" w:rsidRDefault="00236AF4" w:rsidP="00236AF4">
            <w:pPr>
              <w:rPr>
                <w:rFonts w:ascii="Times New Roman" w:hAnsi="Times New Roman" w:cs="Times New Roman"/>
              </w:rPr>
            </w:pPr>
            <w:r w:rsidRPr="00236AF4">
              <w:rPr>
                <w:rFonts w:ascii="Times New Roman" w:hAnsi="Times New Roman" w:cs="Times New Roman"/>
              </w:rPr>
              <w:t>Renk gözlenmez</w:t>
            </w:r>
          </w:p>
        </w:tc>
      </w:tr>
    </w:tbl>
    <w:p w14:paraId="53D178AD" w14:textId="77777777" w:rsidR="00236AF4" w:rsidRPr="008B530B" w:rsidRDefault="00236AF4" w:rsidP="000D5344">
      <w:pPr>
        <w:rPr>
          <w:rFonts w:ascii="Times New Roman" w:hAnsi="Times New Roman" w:cs="Times New Roman"/>
        </w:rPr>
      </w:pPr>
    </w:p>
    <w:p w14:paraId="4DD159DF" w14:textId="77777777" w:rsidR="000D5344" w:rsidRPr="008B530B" w:rsidRDefault="000D5344" w:rsidP="000D5344">
      <w:pPr>
        <w:rPr>
          <w:rFonts w:ascii="Times New Roman" w:hAnsi="Times New Roman" w:cs="Times New Roman"/>
        </w:rPr>
      </w:pPr>
    </w:p>
    <w:p w14:paraId="1F324EBC" w14:textId="1F4F82F9" w:rsidR="001C4FE3" w:rsidRPr="008B530B" w:rsidRDefault="001C4FE3" w:rsidP="001C4FE3">
      <w:pPr>
        <w:tabs>
          <w:tab w:val="left" w:pos="1031"/>
        </w:tabs>
        <w:rPr>
          <w:rFonts w:ascii="Times New Roman" w:hAnsi="Times New Roman" w:cs="Times New Roman"/>
          <w:b/>
          <w:bCs/>
        </w:rPr>
      </w:pPr>
      <w:r w:rsidRPr="008B530B">
        <w:rPr>
          <w:rFonts w:ascii="Times New Roman" w:hAnsi="Times New Roman" w:cs="Times New Roman"/>
          <w:b/>
          <w:bCs/>
        </w:rPr>
        <w:t>Kolorimetri</w:t>
      </w:r>
    </w:p>
    <w:p w14:paraId="61DEB44F" w14:textId="77777777" w:rsidR="001C4FE3" w:rsidRPr="008B530B" w:rsidRDefault="001C4FE3" w:rsidP="001C4FE3">
      <w:pPr>
        <w:tabs>
          <w:tab w:val="left" w:pos="1031"/>
        </w:tabs>
        <w:jc w:val="both"/>
        <w:rPr>
          <w:rFonts w:ascii="Times New Roman" w:hAnsi="Times New Roman" w:cs="Times New Roman"/>
        </w:rPr>
      </w:pPr>
      <w:r w:rsidRPr="008B530B">
        <w:rPr>
          <w:rFonts w:ascii="Times New Roman" w:hAnsi="Times New Roman" w:cs="Times New Roman"/>
        </w:rPr>
        <w:t>Kolorimetri, görünür bölgeye ait bir spektroskopi uygulamasıdır ve genellikle 380–780 nm aralığında çalışılır. Temel prensip, renkli bir çözeltinin absorbansının ölçülmesidir.</w:t>
      </w:r>
    </w:p>
    <w:p w14:paraId="30EC6AC6" w14:textId="77777777" w:rsidR="001C4FE3" w:rsidRPr="008B530B" w:rsidRDefault="001C4FE3" w:rsidP="001C4FE3">
      <w:pPr>
        <w:tabs>
          <w:tab w:val="left" w:pos="1031"/>
        </w:tabs>
        <w:jc w:val="both"/>
        <w:rPr>
          <w:rFonts w:ascii="Times New Roman" w:hAnsi="Times New Roman" w:cs="Times New Roman"/>
          <w:b/>
          <w:bCs/>
        </w:rPr>
      </w:pPr>
      <w:r w:rsidRPr="008B530B">
        <w:rPr>
          <w:rFonts w:ascii="Times New Roman" w:hAnsi="Times New Roman" w:cs="Times New Roman"/>
          <w:b/>
          <w:bCs/>
        </w:rPr>
        <w:t>Cihazın temel bileşenleri ve çalışma prensibi</w:t>
      </w:r>
    </w:p>
    <w:p w14:paraId="51059BB7" w14:textId="22323174" w:rsidR="001C4FE3" w:rsidRPr="008B530B" w:rsidRDefault="001C4FE3" w:rsidP="001C4FE3">
      <w:pPr>
        <w:tabs>
          <w:tab w:val="left" w:pos="1031"/>
        </w:tabs>
        <w:jc w:val="both"/>
        <w:rPr>
          <w:rFonts w:ascii="Times New Roman" w:hAnsi="Times New Roman" w:cs="Times New Roman"/>
        </w:rPr>
      </w:pPr>
      <w:r w:rsidRPr="008B530B">
        <w:rPr>
          <w:rFonts w:ascii="Times New Roman" w:hAnsi="Times New Roman" w:cs="Times New Roman"/>
        </w:rPr>
        <w:t>Işık kaynağı olarak görünür bölge ölçümlerinde çoğunlukla tungsten lamba, UV bölge ölçümlerinde ise hidrojen deşarj lambası kullanılabillir.</w:t>
      </w:r>
    </w:p>
    <w:p w14:paraId="40A9CC9F" w14:textId="65A1067B" w:rsidR="001C4FE3" w:rsidRPr="008B530B" w:rsidRDefault="001C4FE3" w:rsidP="001C4FE3">
      <w:pPr>
        <w:tabs>
          <w:tab w:val="left" w:pos="1031"/>
        </w:tabs>
        <w:jc w:val="both"/>
        <w:rPr>
          <w:rFonts w:ascii="Times New Roman" w:hAnsi="Times New Roman" w:cs="Times New Roman"/>
        </w:rPr>
      </w:pPr>
      <w:r w:rsidRPr="008B530B">
        <w:rPr>
          <w:rFonts w:ascii="Times New Roman" w:hAnsi="Times New Roman" w:cs="Times New Roman"/>
        </w:rPr>
        <w:t xml:space="preserve">Monokromatör, kaynaktan çıkan ışığın istenen dalga boyuna seçilmesini/ayarlanmasını sağlar. Bu amaçla ışığı dalga boylarına ayıran prizmalar, yarıklar ve özel aynalar gibi optik elemanlar </w:t>
      </w:r>
      <w:r w:rsidR="00395408" w:rsidRPr="008B530B">
        <w:rPr>
          <w:rFonts w:ascii="Times New Roman" w:hAnsi="Times New Roman" w:cs="Times New Roman"/>
        </w:rPr>
        <w:t>kullanılır. Monokromatörden</w:t>
      </w:r>
      <w:r w:rsidRPr="008B530B">
        <w:rPr>
          <w:rFonts w:ascii="Times New Roman" w:hAnsi="Times New Roman" w:cs="Times New Roman"/>
        </w:rPr>
        <w:t xml:space="preserve"> çıkan ışık, ayna ve mercek sistemleri ile düzenlenerek paralel ışın demetleri hâline getirilir; ardından örnekten geçirilir.</w:t>
      </w:r>
      <w:r w:rsidR="004F70A2" w:rsidRPr="008B530B">
        <w:rPr>
          <w:rFonts w:ascii="Times New Roman" w:hAnsi="Times New Roman" w:cs="Times New Roman"/>
        </w:rPr>
        <w:t xml:space="preserve"> </w:t>
      </w:r>
      <w:r w:rsidRPr="008B530B">
        <w:rPr>
          <w:rFonts w:ascii="Times New Roman" w:hAnsi="Times New Roman" w:cs="Times New Roman"/>
        </w:rPr>
        <w:t>Örnekten geçen ışık, detektör (fotomultiplikatör tüpler) üzerine yönlendirilerek algılanır; burada ışık sinyali elektrik sinyaline dönüştürülür ve sonuçlar transmittans (geçirgenlik) veya absorbans olarak cihazdan okunur.</w:t>
      </w:r>
    </w:p>
    <w:p w14:paraId="2735A4F3" w14:textId="382990DA" w:rsidR="001C4FE3" w:rsidRPr="008B530B" w:rsidRDefault="001C4FE3" w:rsidP="001C4FE3">
      <w:pPr>
        <w:tabs>
          <w:tab w:val="left" w:pos="1031"/>
        </w:tabs>
        <w:jc w:val="both"/>
        <w:rPr>
          <w:rFonts w:ascii="Times New Roman" w:hAnsi="Times New Roman" w:cs="Times New Roman"/>
        </w:rPr>
      </w:pPr>
      <w:r w:rsidRPr="008B530B">
        <w:rPr>
          <w:rFonts w:ascii="Times New Roman" w:hAnsi="Times New Roman" w:cs="Times New Roman"/>
          <w:b/>
          <w:bCs/>
        </w:rPr>
        <w:t>Küvet seçimi</w:t>
      </w:r>
      <w:r w:rsidR="004F70A2" w:rsidRPr="008B530B">
        <w:rPr>
          <w:rFonts w:ascii="Times New Roman" w:hAnsi="Times New Roman" w:cs="Times New Roman"/>
          <w:b/>
          <w:bCs/>
        </w:rPr>
        <w:t xml:space="preserve"> </w:t>
      </w:r>
      <w:r w:rsidRPr="008B530B">
        <w:rPr>
          <w:rFonts w:ascii="Times New Roman" w:hAnsi="Times New Roman" w:cs="Times New Roman"/>
        </w:rPr>
        <w:t xml:space="preserve">Görünür bölge ölçümlerinde genellikle cam küvet </w:t>
      </w:r>
      <w:r w:rsidR="008B530B" w:rsidRPr="008B530B">
        <w:rPr>
          <w:rFonts w:ascii="Times New Roman" w:hAnsi="Times New Roman" w:cs="Times New Roman"/>
        </w:rPr>
        <w:t>kullanılır. UV</w:t>
      </w:r>
      <w:r w:rsidRPr="008B530B">
        <w:rPr>
          <w:rFonts w:ascii="Times New Roman" w:hAnsi="Times New Roman" w:cs="Times New Roman"/>
        </w:rPr>
        <w:t xml:space="preserve"> bölge ölçümlerinde ise UV’yi daha iyi geçirdiği için kuvars (quartz) küvet tercih edilir.</w:t>
      </w:r>
    </w:p>
    <w:p w14:paraId="689B0CB1" w14:textId="6977DB65" w:rsidR="000D5344" w:rsidRPr="008B530B" w:rsidRDefault="001C4FE3" w:rsidP="001C4FE3">
      <w:pPr>
        <w:tabs>
          <w:tab w:val="left" w:pos="1031"/>
        </w:tabs>
        <w:jc w:val="both"/>
        <w:rPr>
          <w:rFonts w:ascii="Times New Roman" w:hAnsi="Times New Roman" w:cs="Times New Roman"/>
        </w:rPr>
      </w:pPr>
      <w:r w:rsidRPr="008B530B">
        <w:rPr>
          <w:rFonts w:ascii="Times New Roman" w:hAnsi="Times New Roman" w:cs="Times New Roman"/>
          <w:b/>
          <w:bCs/>
        </w:rPr>
        <w:t>Tek ışın ve çift ışın sistemi</w:t>
      </w:r>
      <w:r w:rsidR="004F70A2" w:rsidRPr="008B530B">
        <w:rPr>
          <w:rFonts w:ascii="Times New Roman" w:hAnsi="Times New Roman" w:cs="Times New Roman"/>
          <w:b/>
          <w:bCs/>
        </w:rPr>
        <w:t xml:space="preserve"> </w:t>
      </w:r>
      <w:r w:rsidRPr="008B530B">
        <w:rPr>
          <w:rFonts w:ascii="Times New Roman" w:hAnsi="Times New Roman" w:cs="Times New Roman"/>
        </w:rPr>
        <w:t xml:space="preserve">Spektrofotometreler tek ışın demetli (single-beam) veya çift ışın demetli (double-beam) </w:t>
      </w:r>
      <w:r w:rsidR="008B530B" w:rsidRPr="008B530B">
        <w:rPr>
          <w:rFonts w:ascii="Times New Roman" w:hAnsi="Times New Roman" w:cs="Times New Roman"/>
        </w:rPr>
        <w:t>olabilir. Çift</w:t>
      </w:r>
      <w:r w:rsidRPr="008B530B">
        <w:rPr>
          <w:rFonts w:ascii="Times New Roman" w:hAnsi="Times New Roman" w:cs="Times New Roman"/>
        </w:rPr>
        <w:t xml:space="preserve"> ışın demetli sistemlerde ışınların biri aynı anda örnekten, diğeri referanstan geçirilir; cihaz bu iki sinyalin oranını hesaplayarak ölçümü daha stabil ve karşılaştırılabilir hale getirir.</w:t>
      </w:r>
    </w:p>
    <w:p w14:paraId="6AD7C858" w14:textId="77777777" w:rsidR="00CF7432" w:rsidRPr="008B530B" w:rsidRDefault="00CF7432" w:rsidP="00CF7432">
      <w:pPr>
        <w:tabs>
          <w:tab w:val="left" w:pos="1031"/>
        </w:tabs>
        <w:jc w:val="both"/>
        <w:rPr>
          <w:rFonts w:ascii="Times New Roman" w:hAnsi="Times New Roman" w:cs="Times New Roman"/>
          <w:b/>
          <w:bCs/>
        </w:rPr>
      </w:pPr>
      <w:r w:rsidRPr="008B530B">
        <w:rPr>
          <w:rFonts w:ascii="Times New Roman" w:hAnsi="Times New Roman" w:cs="Times New Roman"/>
          <w:b/>
          <w:bCs/>
        </w:rPr>
        <w:t>SPEKTROFOTOMETRİK NİCEL ANALİZ UYGULAMASI</w:t>
      </w:r>
    </w:p>
    <w:p w14:paraId="3F3E3394" w14:textId="77777777" w:rsidR="00CF7432" w:rsidRPr="008B530B" w:rsidRDefault="00CF7432" w:rsidP="00CF7432">
      <w:pPr>
        <w:tabs>
          <w:tab w:val="left" w:pos="1031"/>
        </w:tabs>
        <w:jc w:val="both"/>
        <w:rPr>
          <w:rFonts w:ascii="Times New Roman" w:hAnsi="Times New Roman" w:cs="Times New Roman"/>
        </w:rPr>
      </w:pPr>
      <w:r w:rsidRPr="008B530B">
        <w:rPr>
          <w:rFonts w:ascii="Times New Roman" w:hAnsi="Times New Roman" w:cs="Times New Roman"/>
        </w:rPr>
        <w:t>Spektrofotometrik nicel analiz, bir bileşiğin absorpladığı ışık miktarı ile o bileşiğin örnekteki konsantrasyonu/miktarı arasındaki ilişkiye dayanır. Bu temel ilişki Beer–Lambert yasası ile açıklanır.</w:t>
      </w:r>
    </w:p>
    <w:p w14:paraId="647CD207" w14:textId="77777777" w:rsidR="008B530B" w:rsidRDefault="00CF7432" w:rsidP="00CF7432">
      <w:pPr>
        <w:tabs>
          <w:tab w:val="left" w:pos="1031"/>
        </w:tabs>
        <w:jc w:val="both"/>
        <w:rPr>
          <w:rFonts w:ascii="Times New Roman" w:hAnsi="Times New Roman" w:cs="Times New Roman"/>
        </w:rPr>
      </w:pPr>
      <w:r w:rsidRPr="008B530B">
        <w:rPr>
          <w:rFonts w:ascii="Times New Roman" w:hAnsi="Times New Roman" w:cs="Times New Roman"/>
        </w:rPr>
        <w:t xml:space="preserve">Dalga boyu seçimi: Nicel analiz süreci, ölçüm için uygun dalga boyunun belirlenmesi ile başlar. Genellikle ölçüm, analiz edilen bileşiğin çalışma aralığında maksimum absorpsiyon gösterdiği dalga boyunda (λmax) yapılır. </w:t>
      </w:r>
    </w:p>
    <w:p w14:paraId="46427C39" w14:textId="233C89BD" w:rsidR="00CF7432" w:rsidRPr="008B530B" w:rsidRDefault="00CF7432" w:rsidP="00CF7432">
      <w:pPr>
        <w:tabs>
          <w:tab w:val="left" w:pos="1031"/>
        </w:tabs>
        <w:jc w:val="both"/>
        <w:rPr>
          <w:rFonts w:ascii="Times New Roman" w:hAnsi="Times New Roman" w:cs="Times New Roman"/>
        </w:rPr>
      </w:pPr>
      <w:r w:rsidRPr="008B530B">
        <w:rPr>
          <w:rFonts w:ascii="Times New Roman" w:hAnsi="Times New Roman" w:cs="Times New Roman"/>
        </w:rPr>
        <w:t>Bunun nedenleri:</w:t>
      </w:r>
    </w:p>
    <w:p w14:paraId="617048B0" w14:textId="77777777" w:rsidR="00CF7432" w:rsidRPr="008B530B" w:rsidRDefault="00CF7432" w:rsidP="00CF7432">
      <w:pPr>
        <w:tabs>
          <w:tab w:val="left" w:pos="1031"/>
        </w:tabs>
        <w:jc w:val="both"/>
        <w:rPr>
          <w:rFonts w:ascii="Times New Roman" w:hAnsi="Times New Roman" w:cs="Times New Roman"/>
        </w:rPr>
      </w:pPr>
      <w:r w:rsidRPr="008B530B">
        <w:rPr>
          <w:rFonts w:ascii="Times New Roman" w:hAnsi="Times New Roman" w:cs="Times New Roman"/>
        </w:rPr>
        <w:t>Duyarlılık en yüksektir: Absorpsiyon sinyali λmax’ta en güçlü olduğundan küçük miktar değişimleri daha kolay ayırt edilir.</w:t>
      </w:r>
    </w:p>
    <w:p w14:paraId="53A335C5" w14:textId="27F8F7D8" w:rsidR="00CF7432" w:rsidRPr="008B530B" w:rsidRDefault="00CF7432" w:rsidP="00CF7432">
      <w:pPr>
        <w:tabs>
          <w:tab w:val="left" w:pos="1031"/>
        </w:tabs>
        <w:jc w:val="both"/>
        <w:rPr>
          <w:rFonts w:ascii="Times New Roman" w:hAnsi="Times New Roman" w:cs="Times New Roman"/>
        </w:rPr>
      </w:pPr>
      <w:r w:rsidRPr="008B530B">
        <w:rPr>
          <w:rFonts w:ascii="Times New Roman" w:hAnsi="Times New Roman" w:cs="Times New Roman"/>
        </w:rPr>
        <w:lastRenderedPageBreak/>
        <w:t xml:space="preserve">Hata riski daha düşüktür: λmax civarında dalga boyundaki küçük oynamalar absorbans değerinde çok büyük değişim oluşturmaz; bu nedenle dalga boyu ayarı çok hassas olmasa bile ölçüm hatası sınırlı </w:t>
      </w:r>
      <w:r w:rsidR="00F77B25" w:rsidRPr="008B530B">
        <w:rPr>
          <w:rFonts w:ascii="Times New Roman" w:hAnsi="Times New Roman" w:cs="Times New Roman"/>
        </w:rPr>
        <w:t>kalır. Bazı</w:t>
      </w:r>
      <w:r w:rsidRPr="008B530B">
        <w:rPr>
          <w:rFonts w:ascii="Times New Roman" w:hAnsi="Times New Roman" w:cs="Times New Roman"/>
        </w:rPr>
        <w:t xml:space="preserve"> durumlarda girişim (interferans) nedeniyle λmax seçimi uygun olmayabilir. Böyle bir durumda, bileşiğin yine ölçüm verebildiği ancak girişimin en düşük olduğu alternatif bir dalga boyu tercih edilir.</w:t>
      </w:r>
    </w:p>
    <w:p w14:paraId="051698E0" w14:textId="77777777" w:rsidR="002B2DC9" w:rsidRPr="008B530B" w:rsidRDefault="002B2DC9" w:rsidP="002B2DC9">
      <w:pPr>
        <w:tabs>
          <w:tab w:val="left" w:pos="1031"/>
        </w:tabs>
        <w:jc w:val="both"/>
        <w:rPr>
          <w:rFonts w:ascii="Times New Roman" w:hAnsi="Times New Roman" w:cs="Times New Roman"/>
          <w:b/>
          <w:bCs/>
        </w:rPr>
      </w:pPr>
      <w:r w:rsidRPr="008B530B">
        <w:rPr>
          <w:rFonts w:ascii="Times New Roman" w:hAnsi="Times New Roman" w:cs="Times New Roman"/>
          <w:b/>
          <w:bCs/>
        </w:rPr>
        <w:t>Spektrofotometride Kullanılan Çözeltiler</w:t>
      </w:r>
    </w:p>
    <w:p w14:paraId="6E430647" w14:textId="77777777" w:rsidR="002B2DC9" w:rsidRPr="008B530B" w:rsidRDefault="002B2DC9" w:rsidP="002B2DC9">
      <w:pPr>
        <w:tabs>
          <w:tab w:val="left" w:pos="1031"/>
        </w:tabs>
        <w:jc w:val="both"/>
        <w:rPr>
          <w:rFonts w:ascii="Times New Roman" w:hAnsi="Times New Roman" w:cs="Times New Roman"/>
        </w:rPr>
      </w:pPr>
      <w:r w:rsidRPr="008B530B">
        <w:rPr>
          <w:rFonts w:ascii="Times New Roman" w:hAnsi="Times New Roman" w:cs="Times New Roman"/>
        </w:rPr>
        <w:t>Stok çözelti: Analizi yapılacak bileşiği yüksek derişimde içeren, genellikle seyreltmelerin başlangıç noktası olan çözelti.</w:t>
      </w:r>
    </w:p>
    <w:p w14:paraId="7C1D3FFC" w14:textId="77777777" w:rsidR="002B2DC9" w:rsidRPr="008B530B" w:rsidRDefault="002B2DC9" w:rsidP="002B2DC9">
      <w:pPr>
        <w:tabs>
          <w:tab w:val="left" w:pos="1031"/>
        </w:tabs>
        <w:jc w:val="both"/>
        <w:rPr>
          <w:rFonts w:ascii="Times New Roman" w:hAnsi="Times New Roman" w:cs="Times New Roman"/>
        </w:rPr>
      </w:pPr>
      <w:r w:rsidRPr="008B530B">
        <w:rPr>
          <w:rFonts w:ascii="Times New Roman" w:hAnsi="Times New Roman" w:cs="Times New Roman"/>
        </w:rPr>
        <w:t>Standart çözelti: Stok çözeltiden hazırlanan; analiz edilecek bileşiği bilinen ve belirli konsantrasyonlarda içeren çözeltiler (kalibrasyon için kullanılır).</w:t>
      </w:r>
    </w:p>
    <w:p w14:paraId="10E646D9" w14:textId="77777777" w:rsidR="002B2DC9" w:rsidRPr="008B530B" w:rsidRDefault="002B2DC9" w:rsidP="002B2DC9">
      <w:pPr>
        <w:tabs>
          <w:tab w:val="left" w:pos="1031"/>
        </w:tabs>
        <w:jc w:val="both"/>
        <w:rPr>
          <w:rFonts w:ascii="Times New Roman" w:hAnsi="Times New Roman" w:cs="Times New Roman"/>
        </w:rPr>
      </w:pPr>
      <w:r w:rsidRPr="008B530B">
        <w:rPr>
          <w:rFonts w:ascii="Times New Roman" w:hAnsi="Times New Roman" w:cs="Times New Roman"/>
        </w:rPr>
        <w:t>Kör (blank) çözelti: Çözücü ve/veya reaktiflerin oluşturabileceği absorbansı sıfırlamak/kompanse etmek amacıyla hazırlanan; analiti içermeyen çözelti.</w:t>
      </w:r>
    </w:p>
    <w:p w14:paraId="324B0B1F" w14:textId="77777777" w:rsidR="002B2DC9" w:rsidRPr="008B530B" w:rsidRDefault="002B2DC9" w:rsidP="002B2DC9">
      <w:pPr>
        <w:tabs>
          <w:tab w:val="left" w:pos="1031"/>
        </w:tabs>
        <w:jc w:val="both"/>
        <w:rPr>
          <w:rFonts w:ascii="Times New Roman" w:hAnsi="Times New Roman" w:cs="Times New Roman"/>
          <w:b/>
          <w:bCs/>
        </w:rPr>
      </w:pPr>
      <w:r w:rsidRPr="008B530B">
        <w:rPr>
          <w:rFonts w:ascii="Times New Roman" w:hAnsi="Times New Roman" w:cs="Times New Roman"/>
          <w:b/>
          <w:bCs/>
        </w:rPr>
        <w:t>Spektrofotometrik Yöntemle Miktar Tayini</w:t>
      </w:r>
    </w:p>
    <w:p w14:paraId="03F67078" w14:textId="77777777" w:rsidR="002B2DC9" w:rsidRPr="008B530B" w:rsidRDefault="002B2DC9" w:rsidP="002B2DC9">
      <w:pPr>
        <w:tabs>
          <w:tab w:val="left" w:pos="1031"/>
        </w:tabs>
        <w:jc w:val="both"/>
        <w:rPr>
          <w:rFonts w:ascii="Times New Roman" w:hAnsi="Times New Roman" w:cs="Times New Roman"/>
        </w:rPr>
      </w:pPr>
      <w:r w:rsidRPr="008B530B">
        <w:rPr>
          <w:rFonts w:ascii="Times New Roman" w:hAnsi="Times New Roman" w:cs="Times New Roman"/>
        </w:rPr>
        <w:t>1) Grafik (Kalibrasyon Eğrisi) ile Hesaplama</w:t>
      </w:r>
    </w:p>
    <w:p w14:paraId="1ECD7931" w14:textId="77777777" w:rsidR="002B2DC9" w:rsidRPr="008B530B" w:rsidRDefault="002B2DC9" w:rsidP="002B2DC9">
      <w:pPr>
        <w:tabs>
          <w:tab w:val="left" w:pos="1031"/>
        </w:tabs>
        <w:jc w:val="both"/>
        <w:rPr>
          <w:rFonts w:ascii="Times New Roman" w:hAnsi="Times New Roman" w:cs="Times New Roman"/>
        </w:rPr>
      </w:pPr>
      <w:r w:rsidRPr="008B530B">
        <w:rPr>
          <w:rFonts w:ascii="Times New Roman" w:hAnsi="Times New Roman" w:cs="Times New Roman"/>
        </w:rPr>
        <w:t>Bilinmeyen örnekteki madde miktarını nicel olarak belirlemek için; kör ve standart çözeltiler kullanılarak kalibrasyon doğrusu oluşturulur (Şekil 4). Genel işlem basamakları:</w:t>
      </w:r>
    </w:p>
    <w:p w14:paraId="13349AC5" w14:textId="77777777" w:rsidR="002B2DC9" w:rsidRPr="008B530B" w:rsidRDefault="002B2DC9" w:rsidP="002B2DC9">
      <w:pPr>
        <w:tabs>
          <w:tab w:val="left" w:pos="1031"/>
        </w:tabs>
        <w:jc w:val="both"/>
        <w:rPr>
          <w:rFonts w:ascii="Times New Roman" w:hAnsi="Times New Roman" w:cs="Times New Roman"/>
        </w:rPr>
      </w:pPr>
      <w:r w:rsidRPr="008B530B">
        <w:rPr>
          <w:rFonts w:ascii="Times New Roman" w:hAnsi="Times New Roman" w:cs="Times New Roman"/>
        </w:rPr>
        <w:t>Stok çözelti hazırlanır.</w:t>
      </w:r>
    </w:p>
    <w:p w14:paraId="101BDCAD" w14:textId="77777777" w:rsidR="002B2DC9" w:rsidRPr="008B530B" w:rsidRDefault="002B2DC9" w:rsidP="002B2DC9">
      <w:pPr>
        <w:tabs>
          <w:tab w:val="left" w:pos="1031"/>
        </w:tabs>
        <w:jc w:val="both"/>
        <w:rPr>
          <w:rFonts w:ascii="Times New Roman" w:hAnsi="Times New Roman" w:cs="Times New Roman"/>
        </w:rPr>
      </w:pPr>
      <w:r w:rsidRPr="008B530B">
        <w:rPr>
          <w:rFonts w:ascii="Times New Roman" w:hAnsi="Times New Roman" w:cs="Times New Roman"/>
        </w:rPr>
        <w:t>Stok çözeltiden seyreltme yapılarak farklı konsantrasyonlarda bir seri standart çözelti hazırlanır (genellikle en az 4 standart).</w:t>
      </w:r>
    </w:p>
    <w:p w14:paraId="3E1E64F2" w14:textId="77777777" w:rsidR="00C82A30" w:rsidRDefault="002B2DC9" w:rsidP="002B2DC9">
      <w:pPr>
        <w:tabs>
          <w:tab w:val="left" w:pos="1031"/>
        </w:tabs>
        <w:jc w:val="both"/>
        <w:rPr>
          <w:rFonts w:ascii="Times New Roman" w:hAnsi="Times New Roman" w:cs="Times New Roman"/>
          <w:sz w:val="20"/>
          <w:szCs w:val="20"/>
        </w:rPr>
      </w:pPr>
      <w:r w:rsidRPr="008B530B">
        <w:rPr>
          <w:rFonts w:ascii="Times New Roman" w:hAnsi="Times New Roman" w:cs="Times New Roman"/>
        </w:rPr>
        <w:t>Standartların derişimleri, ölçülecek bilinmeyen örneğin beklenen derişimine mümkün olduğunca yakın seçilmelidir. Bu nedenle standartlar dikkatle hazırlanmalı ve örneğe uygulanan deney prosedürü standartlara da aynı şekilde uygulanmalıdır</w:t>
      </w:r>
      <w:r w:rsidRPr="002B2DC9">
        <w:rPr>
          <w:rFonts w:ascii="Times New Roman" w:hAnsi="Times New Roman" w:cs="Times New Roman"/>
          <w:sz w:val="20"/>
          <w:szCs w:val="20"/>
        </w:rPr>
        <w:t>.</w:t>
      </w:r>
    </w:p>
    <w:p w14:paraId="095D745F" w14:textId="77777777" w:rsidR="006A1814" w:rsidRDefault="006A1814" w:rsidP="002B2DC9">
      <w:pPr>
        <w:tabs>
          <w:tab w:val="left" w:pos="1031"/>
        </w:tabs>
        <w:jc w:val="both"/>
        <w:rPr>
          <w:rFonts w:ascii="Times New Roman" w:hAnsi="Times New Roman" w:cs="Times New Roman"/>
          <w:sz w:val="20"/>
          <w:szCs w:val="20"/>
        </w:rPr>
      </w:pPr>
    </w:p>
    <w:p w14:paraId="578CD1ED" w14:textId="4FE026C8" w:rsidR="004A20F4" w:rsidRPr="004A20F4" w:rsidRDefault="004A20F4" w:rsidP="004A20F4">
      <w:pPr>
        <w:tabs>
          <w:tab w:val="left" w:pos="1031"/>
        </w:tabs>
        <w:jc w:val="both"/>
        <w:rPr>
          <w:rFonts w:ascii="Times New Roman" w:hAnsi="Times New Roman" w:cs="Times New Roman"/>
          <w:i/>
          <w:iCs/>
          <w:sz w:val="20"/>
          <w:szCs w:val="20"/>
        </w:rPr>
      </w:pPr>
      <w:r w:rsidRPr="00D34D93">
        <w:rPr>
          <w:rFonts w:ascii="Times New Roman" w:hAnsi="Times New Roman" w:cs="Times New Roman"/>
          <w:i/>
          <w:iCs/>
          <w:noProof/>
          <w:sz w:val="20"/>
          <w:szCs w:val="20"/>
        </w:rPr>
        <w:drawing>
          <wp:anchor distT="0" distB="0" distL="114300" distR="114300" simplePos="0" relativeHeight="251688960" behindDoc="0" locked="0" layoutInCell="1" allowOverlap="1" wp14:anchorId="6ACD0D87" wp14:editId="2C9053B0">
            <wp:simplePos x="0" y="0"/>
            <wp:positionH relativeFrom="column">
              <wp:posOffset>635</wp:posOffset>
            </wp:positionH>
            <wp:positionV relativeFrom="paragraph">
              <wp:posOffset>635</wp:posOffset>
            </wp:positionV>
            <wp:extent cx="5760720" cy="2880360"/>
            <wp:effectExtent l="0" t="0" r="0" b="0"/>
            <wp:wrapTopAndBottom/>
            <wp:docPr id="982559620" name="Resim 12" descr="metin, ekran görüntüsü, yazı tipi,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59620" name="Resim 12" descr="metin, ekran görüntüsü, yazı tipi, diyagram içeren bir resim&#10;&#10;Yapay zeka tarafından oluşturulmuş içerik yanlış olabili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anchor>
        </w:drawing>
      </w:r>
      <w:r w:rsidR="00D34D93" w:rsidRPr="00D34D93">
        <w:rPr>
          <w:rFonts w:ascii="Times New Roman" w:hAnsi="Times New Roman" w:cs="Times New Roman"/>
          <w:i/>
          <w:iCs/>
          <w:sz w:val="20"/>
          <w:szCs w:val="20"/>
        </w:rPr>
        <w:t>Şekil</w:t>
      </w:r>
      <w:r w:rsidR="00CD7DA4">
        <w:rPr>
          <w:rFonts w:ascii="Times New Roman" w:hAnsi="Times New Roman" w:cs="Times New Roman"/>
          <w:i/>
          <w:iCs/>
          <w:sz w:val="20"/>
          <w:szCs w:val="20"/>
        </w:rPr>
        <w:t xml:space="preserve"> 3</w:t>
      </w:r>
      <w:r w:rsidR="00D34D93" w:rsidRPr="00D34D93">
        <w:rPr>
          <w:rFonts w:ascii="Times New Roman" w:hAnsi="Times New Roman" w:cs="Times New Roman"/>
          <w:i/>
          <w:iCs/>
          <w:sz w:val="20"/>
          <w:szCs w:val="20"/>
        </w:rPr>
        <w:t>.</w:t>
      </w:r>
      <w:r w:rsidR="00D34D93" w:rsidRPr="00D34D93">
        <w:t xml:space="preserve"> </w:t>
      </w:r>
      <w:r w:rsidR="00D34D93" w:rsidRPr="00D34D93">
        <w:rPr>
          <w:rFonts w:ascii="Times New Roman" w:hAnsi="Times New Roman" w:cs="Times New Roman"/>
          <w:i/>
          <w:iCs/>
          <w:sz w:val="20"/>
          <w:szCs w:val="20"/>
        </w:rPr>
        <w:t>Kalibrasyon Eğrisi için Standart Hazırlama Şeması (Stok → Seyreltme → Standartlar)”</w:t>
      </w:r>
    </w:p>
    <w:p w14:paraId="5690F891" w14:textId="1CCC01D6" w:rsidR="006A1814" w:rsidRDefault="002C1627" w:rsidP="002B2DC9">
      <w:pPr>
        <w:tabs>
          <w:tab w:val="left" w:pos="1031"/>
        </w:tabs>
        <w:jc w:val="both"/>
        <w:rPr>
          <w:rFonts w:ascii="Times New Roman" w:hAnsi="Times New Roman" w:cs="Times New Roman"/>
          <w:i/>
          <w:iCs/>
          <w:sz w:val="20"/>
          <w:szCs w:val="20"/>
          <w:u w:val="single"/>
        </w:rPr>
      </w:pPr>
      <w:r w:rsidRPr="002C1627">
        <w:rPr>
          <w:rFonts w:ascii="Times New Roman" w:hAnsi="Times New Roman" w:cs="Times New Roman"/>
          <w:i/>
          <w:iCs/>
          <w:noProof/>
          <w:sz w:val="20"/>
          <w:szCs w:val="20"/>
          <w:u w:val="single"/>
        </w:rPr>
        <w:lastRenderedPageBreak/>
        <w:drawing>
          <wp:anchor distT="0" distB="0" distL="114300" distR="114300" simplePos="0" relativeHeight="251693056" behindDoc="0" locked="0" layoutInCell="1" allowOverlap="1" wp14:anchorId="71C8DE98" wp14:editId="5659C78F">
            <wp:simplePos x="0" y="0"/>
            <wp:positionH relativeFrom="margin">
              <wp:posOffset>255905</wp:posOffset>
            </wp:positionH>
            <wp:positionV relativeFrom="paragraph">
              <wp:posOffset>269875</wp:posOffset>
            </wp:positionV>
            <wp:extent cx="4998085" cy="2487930"/>
            <wp:effectExtent l="0" t="0" r="0" b="7620"/>
            <wp:wrapTopAndBottom/>
            <wp:docPr id="947366767" name="Resim 13" descr="metin, ekran görüntüsü, taslak, diyagra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66767" name="Resim 13" descr="metin, ekran görüntüsü, taslak, diyagram içeren bir resi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8085" cy="2487930"/>
                    </a:xfrm>
                    <a:prstGeom prst="rect">
                      <a:avLst/>
                    </a:prstGeom>
                    <a:noFill/>
                    <a:ln>
                      <a:noFill/>
                    </a:ln>
                  </pic:spPr>
                </pic:pic>
              </a:graphicData>
            </a:graphic>
            <wp14:sizeRelH relativeFrom="margin">
              <wp14:pctWidth>0</wp14:pctWidth>
            </wp14:sizeRelH>
          </wp:anchor>
        </w:drawing>
      </w:r>
    </w:p>
    <w:p w14:paraId="42104E8D" w14:textId="632ACB31" w:rsidR="002C1627" w:rsidRPr="002C1627" w:rsidRDefault="000F0C47" w:rsidP="002C1627">
      <w:pPr>
        <w:tabs>
          <w:tab w:val="left" w:pos="1031"/>
        </w:tabs>
        <w:jc w:val="both"/>
        <w:rPr>
          <w:rFonts w:ascii="Times New Roman" w:hAnsi="Times New Roman" w:cs="Times New Roman"/>
          <w:i/>
          <w:iCs/>
          <w:sz w:val="20"/>
          <w:szCs w:val="20"/>
          <w:u w:val="single"/>
        </w:rPr>
      </w:pPr>
      <w:r w:rsidRPr="000F0C47">
        <w:rPr>
          <w:rFonts w:ascii="Times New Roman" w:hAnsi="Times New Roman" w:cs="Times New Roman"/>
          <w:i/>
          <w:iCs/>
          <w:sz w:val="20"/>
          <w:szCs w:val="20"/>
        </w:rPr>
        <w:t>Şekil</w:t>
      </w:r>
      <w:r w:rsidR="00CD7DA4">
        <w:rPr>
          <w:rFonts w:ascii="Times New Roman" w:hAnsi="Times New Roman" w:cs="Times New Roman"/>
          <w:i/>
          <w:iCs/>
          <w:sz w:val="20"/>
          <w:szCs w:val="20"/>
        </w:rPr>
        <w:t xml:space="preserve"> 4</w:t>
      </w:r>
      <w:r w:rsidRPr="000F0C47">
        <w:rPr>
          <w:rFonts w:ascii="Times New Roman" w:hAnsi="Times New Roman" w:cs="Times New Roman"/>
          <w:i/>
          <w:iCs/>
          <w:sz w:val="20"/>
          <w:szCs w:val="20"/>
        </w:rPr>
        <w:t>. Stok çözeltiden hareketle kör ve standart çözeltilerinin hazırlanmasının şematik gösterimi</w:t>
      </w:r>
      <w:r w:rsidRPr="000F0C47">
        <w:rPr>
          <w:rFonts w:ascii="Times New Roman" w:hAnsi="Times New Roman" w:cs="Times New Roman"/>
          <w:i/>
          <w:iCs/>
          <w:sz w:val="20"/>
          <w:szCs w:val="20"/>
          <w:u w:val="single"/>
        </w:rPr>
        <w:t>.</w:t>
      </w:r>
    </w:p>
    <w:p w14:paraId="37192B2A" w14:textId="77777777" w:rsidR="00B11405" w:rsidRPr="001C4F73" w:rsidRDefault="00B11405" w:rsidP="00226AB5">
      <w:pPr>
        <w:pStyle w:val="ListeParagraf"/>
        <w:numPr>
          <w:ilvl w:val="0"/>
          <w:numId w:val="5"/>
        </w:numPr>
        <w:tabs>
          <w:tab w:val="left" w:pos="1031"/>
        </w:tabs>
        <w:jc w:val="both"/>
        <w:rPr>
          <w:rFonts w:ascii="Times New Roman" w:hAnsi="Times New Roman" w:cs="Times New Roman"/>
        </w:rPr>
      </w:pPr>
      <w:r w:rsidRPr="001C4F73">
        <w:rPr>
          <w:rFonts w:ascii="Times New Roman" w:hAnsi="Times New Roman" w:cs="Times New Roman"/>
        </w:rPr>
        <w:t>Kör (blank) çözelti hazırlanır. Bu çözelti, analizi yapılacak madde dışındaki tüm reaktifleri içermelidir. Kör hazırlanırken tüm deney koşulları (hacimler, süre, sıcaklık vb.) standartlarla aynı şekilde uygulanmalıdır.</w:t>
      </w:r>
    </w:p>
    <w:p w14:paraId="31758DC0" w14:textId="77777777" w:rsidR="00B11405" w:rsidRPr="001C4F73" w:rsidRDefault="00B11405" w:rsidP="00226AB5">
      <w:pPr>
        <w:pStyle w:val="ListeParagraf"/>
        <w:numPr>
          <w:ilvl w:val="0"/>
          <w:numId w:val="5"/>
        </w:numPr>
        <w:tabs>
          <w:tab w:val="left" w:pos="1031"/>
        </w:tabs>
        <w:jc w:val="both"/>
        <w:rPr>
          <w:rFonts w:ascii="Times New Roman" w:hAnsi="Times New Roman" w:cs="Times New Roman"/>
        </w:rPr>
      </w:pPr>
      <w:r w:rsidRPr="001C4F73">
        <w:rPr>
          <w:rFonts w:ascii="Times New Roman" w:hAnsi="Times New Roman" w:cs="Times New Roman"/>
        </w:rPr>
        <w:t>Hazırlanan standart çözeltilerden deney için gerekli hacim alınır, deney tüpüne aktarılır ve üzerine uygun reaktifler ilave edilir.</w:t>
      </w:r>
    </w:p>
    <w:p w14:paraId="787D47CF" w14:textId="77777777" w:rsidR="00B11405" w:rsidRPr="001C4F73" w:rsidRDefault="00B11405" w:rsidP="00226AB5">
      <w:pPr>
        <w:pStyle w:val="ListeParagraf"/>
        <w:numPr>
          <w:ilvl w:val="0"/>
          <w:numId w:val="5"/>
        </w:numPr>
        <w:tabs>
          <w:tab w:val="left" w:pos="1031"/>
        </w:tabs>
        <w:jc w:val="both"/>
        <w:rPr>
          <w:rFonts w:ascii="Times New Roman" w:hAnsi="Times New Roman" w:cs="Times New Roman"/>
        </w:rPr>
      </w:pPr>
      <w:r w:rsidRPr="001C4F73">
        <w:rPr>
          <w:rFonts w:ascii="Times New Roman" w:hAnsi="Times New Roman" w:cs="Times New Roman"/>
        </w:rPr>
        <w:t>Bilinmeyen numuneden belirlenen hacimde alınarak deney tüpüne konur ve üzerine aynı reaktifler eklenir.</w:t>
      </w:r>
    </w:p>
    <w:p w14:paraId="121602F6" w14:textId="77777777" w:rsidR="00B11405" w:rsidRPr="001C4F73" w:rsidRDefault="00B11405" w:rsidP="00226AB5">
      <w:pPr>
        <w:pStyle w:val="ListeParagraf"/>
        <w:numPr>
          <w:ilvl w:val="0"/>
          <w:numId w:val="5"/>
        </w:numPr>
        <w:tabs>
          <w:tab w:val="left" w:pos="1031"/>
        </w:tabs>
        <w:jc w:val="both"/>
        <w:rPr>
          <w:rFonts w:ascii="Times New Roman" w:hAnsi="Times New Roman" w:cs="Times New Roman"/>
        </w:rPr>
      </w:pPr>
      <w:r w:rsidRPr="001C4F73">
        <w:rPr>
          <w:rFonts w:ascii="Times New Roman" w:hAnsi="Times New Roman" w:cs="Times New Roman"/>
        </w:rPr>
        <w:t>Reaksiyonun tamamlanması için gereken işlemler (vorteks, inkübasyon, santrifüj vb.) protokole uygun şekilde gerçekleştirilir.</w:t>
      </w:r>
    </w:p>
    <w:p w14:paraId="48B78D7C" w14:textId="77777777" w:rsidR="00B11405" w:rsidRPr="001C4F73" w:rsidRDefault="00B11405" w:rsidP="00226AB5">
      <w:pPr>
        <w:pStyle w:val="ListeParagraf"/>
        <w:numPr>
          <w:ilvl w:val="0"/>
          <w:numId w:val="5"/>
        </w:numPr>
        <w:tabs>
          <w:tab w:val="left" w:pos="1031"/>
        </w:tabs>
        <w:jc w:val="both"/>
        <w:rPr>
          <w:rFonts w:ascii="Times New Roman" w:hAnsi="Times New Roman" w:cs="Times New Roman"/>
        </w:rPr>
      </w:pPr>
      <w:r w:rsidRPr="001C4F73">
        <w:rPr>
          <w:rFonts w:ascii="Times New Roman" w:hAnsi="Times New Roman" w:cs="Times New Roman"/>
        </w:rPr>
        <w:t>Spektrofotometrede sıfırlama (zero ayarı) kör çözelti kullanılarak yapılır.</w:t>
      </w:r>
    </w:p>
    <w:p w14:paraId="74D1DA4F" w14:textId="6EDC78DB" w:rsidR="002C1627" w:rsidRDefault="00B11405" w:rsidP="00226AB5">
      <w:pPr>
        <w:pStyle w:val="ListeParagraf"/>
        <w:numPr>
          <w:ilvl w:val="0"/>
          <w:numId w:val="5"/>
        </w:numPr>
        <w:tabs>
          <w:tab w:val="left" w:pos="1031"/>
        </w:tabs>
        <w:jc w:val="both"/>
        <w:rPr>
          <w:rFonts w:ascii="Times New Roman" w:hAnsi="Times New Roman" w:cs="Times New Roman"/>
          <w:sz w:val="20"/>
          <w:szCs w:val="20"/>
        </w:rPr>
      </w:pPr>
      <w:r w:rsidRPr="001C4F73">
        <w:rPr>
          <w:rFonts w:ascii="Times New Roman" w:hAnsi="Times New Roman" w:cs="Times New Roman"/>
        </w:rPr>
        <w:t>Son olarak standartların ve numunenin absorbans değerleri ölçülür.</w:t>
      </w:r>
    </w:p>
    <w:p w14:paraId="642A04D7" w14:textId="06C15C93" w:rsidR="0008114C" w:rsidRDefault="0008114C" w:rsidP="0008114C">
      <w:pPr>
        <w:tabs>
          <w:tab w:val="left" w:pos="1031"/>
        </w:tabs>
        <w:jc w:val="both"/>
        <w:rPr>
          <w:rFonts w:ascii="Times New Roman" w:hAnsi="Times New Roman" w:cs="Times New Roman"/>
          <w:sz w:val="20"/>
          <w:szCs w:val="20"/>
        </w:rPr>
      </w:pPr>
      <w:r w:rsidRPr="0008114C">
        <w:rPr>
          <w:rFonts w:ascii="Times New Roman" w:hAnsi="Times New Roman" w:cs="Times New Roman"/>
          <w:noProof/>
          <w:sz w:val="20"/>
          <w:szCs w:val="20"/>
        </w:rPr>
        <w:drawing>
          <wp:anchor distT="0" distB="0" distL="114300" distR="114300" simplePos="0" relativeHeight="251697152" behindDoc="0" locked="0" layoutInCell="1" allowOverlap="1" wp14:anchorId="1778F7D6" wp14:editId="430938F0">
            <wp:simplePos x="0" y="0"/>
            <wp:positionH relativeFrom="margin">
              <wp:posOffset>436503</wp:posOffset>
            </wp:positionH>
            <wp:positionV relativeFrom="paragraph">
              <wp:posOffset>216</wp:posOffset>
            </wp:positionV>
            <wp:extent cx="3982085" cy="2505710"/>
            <wp:effectExtent l="0" t="0" r="0" b="8890"/>
            <wp:wrapTopAndBottom/>
            <wp:docPr id="1690947892" name="Resim 14" descr="metin, çizgi, öykü gelişim çizgisi; kumpas; grafiğini çıkarma,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47892" name="Resim 14" descr="metin, çizgi, öykü gelişim çizgisi; kumpas; grafiğini çıkarma, diyagram içeren bir resim&#10;&#10;Yapay zeka tarafından oluşturulmuş içerik yanlış olabili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2085" cy="2505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4A5EC" w14:textId="29901FFE" w:rsidR="0008114C" w:rsidRDefault="00CE5F29" w:rsidP="0008114C">
      <w:pPr>
        <w:tabs>
          <w:tab w:val="left" w:pos="1031"/>
        </w:tabs>
        <w:jc w:val="both"/>
        <w:rPr>
          <w:rFonts w:ascii="Times New Roman" w:hAnsi="Times New Roman" w:cs="Times New Roman"/>
          <w:i/>
          <w:iCs/>
          <w:sz w:val="20"/>
          <w:szCs w:val="20"/>
        </w:rPr>
      </w:pPr>
      <w:r>
        <w:rPr>
          <w:rFonts w:ascii="Times New Roman" w:hAnsi="Times New Roman" w:cs="Times New Roman"/>
          <w:sz w:val="20"/>
          <w:szCs w:val="20"/>
        </w:rPr>
        <w:t xml:space="preserve">                                  </w:t>
      </w:r>
      <w:r w:rsidRPr="00CE5F29">
        <w:rPr>
          <w:rFonts w:ascii="Times New Roman" w:hAnsi="Times New Roman" w:cs="Times New Roman"/>
          <w:i/>
          <w:iCs/>
          <w:sz w:val="20"/>
          <w:szCs w:val="20"/>
        </w:rPr>
        <w:t xml:space="preserve">      Şekil</w:t>
      </w:r>
      <w:r w:rsidR="00CD7DA4">
        <w:rPr>
          <w:rFonts w:ascii="Times New Roman" w:hAnsi="Times New Roman" w:cs="Times New Roman"/>
          <w:i/>
          <w:iCs/>
          <w:sz w:val="20"/>
          <w:szCs w:val="20"/>
        </w:rPr>
        <w:t xml:space="preserve"> 5</w:t>
      </w:r>
      <w:r w:rsidR="00CD7DA4" w:rsidRPr="00CE5F29">
        <w:rPr>
          <w:rFonts w:ascii="Times New Roman" w:hAnsi="Times New Roman" w:cs="Times New Roman"/>
          <w:i/>
          <w:iCs/>
          <w:sz w:val="20"/>
          <w:szCs w:val="20"/>
        </w:rPr>
        <w:t>.</w:t>
      </w:r>
      <w:r w:rsidRPr="00CE5F29">
        <w:rPr>
          <w:rFonts w:ascii="Times New Roman" w:hAnsi="Times New Roman" w:cs="Times New Roman"/>
          <w:i/>
          <w:iCs/>
          <w:sz w:val="20"/>
          <w:szCs w:val="20"/>
        </w:rPr>
        <w:t xml:space="preserve"> Kalibrasyon doğrusu çizimi</w:t>
      </w:r>
      <w:r>
        <w:rPr>
          <w:rFonts w:ascii="Times New Roman" w:hAnsi="Times New Roman" w:cs="Times New Roman"/>
          <w:i/>
          <w:iCs/>
          <w:sz w:val="20"/>
          <w:szCs w:val="20"/>
        </w:rPr>
        <w:t xml:space="preserve">. </w:t>
      </w:r>
    </w:p>
    <w:p w14:paraId="356022D2" w14:textId="0CB5892E" w:rsidR="00CD7DA4" w:rsidRPr="00D51C76" w:rsidRDefault="00D51C76" w:rsidP="00D51C76">
      <w:pPr>
        <w:tabs>
          <w:tab w:val="left" w:pos="1031"/>
        </w:tabs>
        <w:jc w:val="both"/>
        <w:rPr>
          <w:rFonts w:ascii="Times New Roman" w:hAnsi="Times New Roman" w:cs="Times New Roman"/>
        </w:rPr>
      </w:pPr>
      <w:r>
        <w:rPr>
          <w:rFonts w:ascii="Times New Roman" w:hAnsi="Times New Roman" w:cs="Times New Roman"/>
        </w:rPr>
        <w:t>S</w:t>
      </w:r>
      <w:r w:rsidRPr="00D51C76">
        <w:rPr>
          <w:rFonts w:ascii="Times New Roman" w:hAnsi="Times New Roman" w:cs="Times New Roman"/>
        </w:rPr>
        <w:t xml:space="preserve">tandart çözeltilerden ölçülen absorbans değerleri kullanılarak kalibrasyon doğrusu oluşturulur. Bu doğrunun hazırlanma amacı, absorbans (A) ile konsantrasyon (C) arasında </w:t>
      </w:r>
      <w:r w:rsidRPr="00D51C76">
        <w:rPr>
          <w:rFonts w:ascii="Times New Roman" w:hAnsi="Times New Roman" w:cs="Times New Roman"/>
        </w:rPr>
        <w:lastRenderedPageBreak/>
        <w:t>sayısal/matematiksel bir ilişki kurmaktır. Genellikle iki değişken arasında doğrusal (lineer) bir ilişki elde edilmeye çalışılır. Bu nedenle standart konsantrasyonlar, A–C ilişkisinin lineer kaldığı aralıktan seçilir ve bilinmeyen örneğin de bu aralıkta yer alması beklenir (Şekil 5</w:t>
      </w:r>
      <w:proofErr w:type="gramStart"/>
      <w:r w:rsidRPr="00D51C76">
        <w:rPr>
          <w:rFonts w:ascii="Times New Roman" w:hAnsi="Times New Roman" w:cs="Times New Roman"/>
        </w:rPr>
        <w:t>).Oluşturulan</w:t>
      </w:r>
      <w:proofErr w:type="gramEnd"/>
      <w:r w:rsidRPr="00D51C76">
        <w:rPr>
          <w:rFonts w:ascii="Times New Roman" w:hAnsi="Times New Roman" w:cs="Times New Roman"/>
        </w:rPr>
        <w:t xml:space="preserve"> kalibrasyon doğrusu (veya denklemi) kullanılarak bilinmeyen örneğin konsantrasyonu </w:t>
      </w:r>
      <w:proofErr w:type="gramStart"/>
      <w:r w:rsidRPr="00D51C76">
        <w:rPr>
          <w:rFonts w:ascii="Times New Roman" w:hAnsi="Times New Roman" w:cs="Times New Roman"/>
        </w:rPr>
        <w:t>hesaplanır.Doğru</w:t>
      </w:r>
      <w:proofErr w:type="gramEnd"/>
      <w:r w:rsidRPr="00D51C76">
        <w:rPr>
          <w:rFonts w:ascii="Times New Roman" w:hAnsi="Times New Roman" w:cs="Times New Roman"/>
        </w:rPr>
        <w:t xml:space="preserve"> sonuç için, standart çözeltiler ile örnek çözeltinin analiti (aranan maddeyi) dışında mümkün olduğunca aynı matriste olması gerekir. Örneğin zehirlenme olgusunda idrar analiz edilecekse, standartlar ideal olarak zehirlenmemiş bir kişinin idrarı içinde hazırlanır (matris etkisini azaltmak için). Ancak bilinmeyen örneklerde bu her zaman mümkün olmayabilir. Bu gibi durumlarda kalibrasyon doğrusu standart katma (standard addition) yöntemiyle kurulur: bilinmeyen örneğin sabit bir hacmine, standart çözeltiden belirli hacimlerde eklemeler yapılır ve her eklemeden sonra absorbans yeniden ölçülür. Elde edilen ölçümlerden yararlanılarak analitin konsantrasyonu hesapla veya doğru çizimi ile belirlenir.</w:t>
      </w:r>
    </w:p>
    <w:p w14:paraId="086FB2B5" w14:textId="31677CDE" w:rsidR="003E42A8" w:rsidRPr="003E42A8" w:rsidRDefault="003E42A8" w:rsidP="003E42A8">
      <w:pPr>
        <w:spacing w:before="100" w:beforeAutospacing="1" w:after="100" w:afterAutospacing="1" w:line="240" w:lineRule="auto"/>
        <w:outlineLvl w:val="2"/>
        <w:rPr>
          <w:rFonts w:ascii="Times New Roman" w:eastAsia="Times New Roman" w:hAnsi="Times New Roman" w:cs="Times New Roman"/>
          <w:b/>
          <w:bCs/>
          <w:kern w:val="0"/>
          <w:lang w:eastAsia="tr-TR"/>
          <w14:ligatures w14:val="none"/>
        </w:rPr>
      </w:pPr>
      <w:r w:rsidRPr="003E42A8">
        <w:rPr>
          <w:rFonts w:ascii="Times New Roman" w:eastAsia="Times New Roman" w:hAnsi="Times New Roman" w:cs="Times New Roman"/>
          <w:b/>
          <w:bCs/>
          <w:kern w:val="0"/>
          <w:sz w:val="27"/>
          <w:szCs w:val="27"/>
          <w:lang w:eastAsia="tr-TR"/>
          <w14:ligatures w14:val="none"/>
        </w:rPr>
        <w:t xml:space="preserve"> </w:t>
      </w:r>
      <w:r w:rsidRPr="003E42A8">
        <w:rPr>
          <w:rFonts w:ascii="Times New Roman" w:eastAsia="Times New Roman" w:hAnsi="Times New Roman" w:cs="Times New Roman"/>
          <w:b/>
          <w:bCs/>
          <w:kern w:val="0"/>
          <w:lang w:eastAsia="tr-TR"/>
          <w14:ligatures w14:val="none"/>
        </w:rPr>
        <w:t>Formül ile Hesaplama</w:t>
      </w:r>
    </w:p>
    <w:p w14:paraId="40277EBB" w14:textId="77777777" w:rsidR="003E42A8" w:rsidRPr="003E42A8" w:rsidRDefault="003E42A8" w:rsidP="003E42A8">
      <w:pPr>
        <w:spacing w:before="100" w:beforeAutospacing="1" w:after="100" w:afterAutospacing="1" w:line="240" w:lineRule="auto"/>
        <w:rPr>
          <w:rFonts w:ascii="Times New Roman" w:eastAsia="Times New Roman" w:hAnsi="Times New Roman" w:cs="Times New Roman"/>
          <w:kern w:val="0"/>
          <w:lang w:eastAsia="tr-TR"/>
          <w14:ligatures w14:val="none"/>
        </w:rPr>
      </w:pPr>
      <w:r w:rsidRPr="003E42A8">
        <w:rPr>
          <w:rFonts w:ascii="Times New Roman" w:eastAsia="Times New Roman" w:hAnsi="Times New Roman" w:cs="Times New Roman"/>
          <w:kern w:val="0"/>
          <w:lang w:eastAsia="tr-TR"/>
          <w14:ligatures w14:val="none"/>
        </w:rPr>
        <w:t>Beer–Lambert yasasına göre:</w:t>
      </w:r>
    </w:p>
    <w:p w14:paraId="46358F85" w14:textId="77777777" w:rsidR="003E42A8" w:rsidRPr="003E42A8" w:rsidRDefault="003E42A8" w:rsidP="003E42A8">
      <w:pPr>
        <w:spacing w:after="0" w:line="240" w:lineRule="auto"/>
        <w:rPr>
          <w:rFonts w:ascii="Times New Roman" w:eastAsia="Times New Roman" w:hAnsi="Times New Roman" w:cs="Times New Roman"/>
          <w:kern w:val="0"/>
          <w:lang w:eastAsia="tr-TR"/>
          <w14:ligatures w14:val="none"/>
        </w:rPr>
      </w:pPr>
      <m:oMathPara>
        <m:oMath>
          <m:r>
            <w:rPr>
              <w:rFonts w:ascii="Cambria Math" w:eastAsia="Times New Roman" w:hAnsi="Cambria Math" w:cs="Times New Roman"/>
              <w:kern w:val="0"/>
              <w:lang w:eastAsia="tr-TR"/>
              <w14:ligatures w14:val="none"/>
            </w:rPr>
            <m:t>A=a⋅b⋅C</m:t>
          </m:r>
          <m:r>
            <w:rPr>
              <w:rFonts w:ascii="Times New Roman" w:eastAsia="Times New Roman" w:hAnsi="Times New Roman" w:cs="Times New Roman"/>
              <w:kern w:val="0"/>
              <w:lang w:eastAsia="tr-TR"/>
              <w14:ligatures w14:val="none"/>
            </w:rPr>
            <w:br/>
          </m:r>
        </m:oMath>
      </m:oMathPara>
    </w:p>
    <w:p w14:paraId="0FCFB504" w14:textId="77777777" w:rsidR="003E42A8" w:rsidRPr="003E42A8" w:rsidRDefault="003E42A8" w:rsidP="003E42A8">
      <w:pPr>
        <w:spacing w:before="100" w:beforeAutospacing="1" w:after="100" w:afterAutospacing="1" w:line="240" w:lineRule="auto"/>
        <w:rPr>
          <w:rFonts w:ascii="Times New Roman" w:eastAsia="Times New Roman" w:hAnsi="Times New Roman" w:cs="Times New Roman"/>
          <w:kern w:val="0"/>
          <w:lang w:eastAsia="tr-TR"/>
          <w14:ligatures w14:val="none"/>
        </w:rPr>
      </w:pPr>
      <w:r w:rsidRPr="003E42A8">
        <w:rPr>
          <w:rFonts w:ascii="Times New Roman" w:eastAsia="Times New Roman" w:hAnsi="Times New Roman" w:cs="Times New Roman"/>
          <w:kern w:val="0"/>
          <w:lang w:eastAsia="tr-TR"/>
          <w14:ligatures w14:val="none"/>
        </w:rPr>
        <w:t xml:space="preserve">Bu eşitlikte </w:t>
      </w:r>
      <w:r w:rsidRPr="003E42A8">
        <w:rPr>
          <w:rFonts w:ascii="Times New Roman" w:eastAsia="Times New Roman" w:hAnsi="Times New Roman" w:cs="Times New Roman"/>
          <w:b/>
          <w:bCs/>
          <w:kern w:val="0"/>
          <w:lang w:eastAsia="tr-TR"/>
          <w14:ligatures w14:val="none"/>
        </w:rPr>
        <w:t>absorbtivite (a)</w:t>
      </w:r>
      <w:r w:rsidRPr="003E42A8">
        <w:rPr>
          <w:rFonts w:ascii="Times New Roman" w:eastAsia="Times New Roman" w:hAnsi="Times New Roman" w:cs="Times New Roman"/>
          <w:kern w:val="0"/>
          <w:lang w:eastAsia="tr-TR"/>
          <w14:ligatures w14:val="none"/>
        </w:rPr>
        <w:t xml:space="preserve">, </w:t>
      </w:r>
      <w:r w:rsidRPr="003E42A8">
        <w:rPr>
          <w:rFonts w:ascii="Times New Roman" w:eastAsia="Times New Roman" w:hAnsi="Times New Roman" w:cs="Times New Roman"/>
          <w:b/>
          <w:bCs/>
          <w:kern w:val="0"/>
          <w:lang w:eastAsia="tr-TR"/>
          <w14:ligatures w14:val="none"/>
        </w:rPr>
        <w:t>ışık yolu uzunluğu (b; genellikle 1 cm)</w:t>
      </w:r>
      <w:r w:rsidRPr="003E42A8">
        <w:rPr>
          <w:rFonts w:ascii="Times New Roman" w:eastAsia="Times New Roman" w:hAnsi="Times New Roman" w:cs="Times New Roman"/>
          <w:kern w:val="0"/>
          <w:lang w:eastAsia="tr-TR"/>
          <w14:ligatures w14:val="none"/>
        </w:rPr>
        <w:t xml:space="preserve"> ve örneğe ait </w:t>
      </w:r>
      <w:r w:rsidRPr="003E42A8">
        <w:rPr>
          <w:rFonts w:ascii="Times New Roman" w:eastAsia="Times New Roman" w:hAnsi="Times New Roman" w:cs="Times New Roman"/>
          <w:b/>
          <w:bCs/>
          <w:kern w:val="0"/>
          <w:lang w:eastAsia="tr-TR"/>
          <w14:ligatures w14:val="none"/>
        </w:rPr>
        <w:t>ölçülen absorbans (A)</w:t>
      </w:r>
      <w:r w:rsidRPr="003E42A8">
        <w:rPr>
          <w:rFonts w:ascii="Times New Roman" w:eastAsia="Times New Roman" w:hAnsi="Times New Roman" w:cs="Times New Roman"/>
          <w:kern w:val="0"/>
          <w:lang w:eastAsia="tr-TR"/>
          <w14:ligatures w14:val="none"/>
        </w:rPr>
        <w:t xml:space="preserve"> biliniyorsa, formülde yerine konularak örnekteki maddenin </w:t>
      </w:r>
      <w:r w:rsidRPr="003E42A8">
        <w:rPr>
          <w:rFonts w:ascii="Times New Roman" w:eastAsia="Times New Roman" w:hAnsi="Times New Roman" w:cs="Times New Roman"/>
          <w:b/>
          <w:bCs/>
          <w:kern w:val="0"/>
          <w:lang w:eastAsia="tr-TR"/>
          <w14:ligatures w14:val="none"/>
        </w:rPr>
        <w:t>konsantrasyonu (C)</w:t>
      </w:r>
      <w:r w:rsidRPr="003E42A8">
        <w:rPr>
          <w:rFonts w:ascii="Times New Roman" w:eastAsia="Times New Roman" w:hAnsi="Times New Roman" w:cs="Times New Roman"/>
          <w:kern w:val="0"/>
          <w:lang w:eastAsia="tr-TR"/>
          <w14:ligatures w14:val="none"/>
        </w:rPr>
        <w:t xml:space="preserve"> hesaplanır:</w:t>
      </w:r>
    </w:p>
    <w:p w14:paraId="2E6009CF" w14:textId="77777777" w:rsidR="003E42A8" w:rsidRPr="003E42A8" w:rsidRDefault="003E42A8" w:rsidP="003E42A8">
      <w:pPr>
        <w:spacing w:after="0" w:line="240" w:lineRule="auto"/>
        <w:rPr>
          <w:rFonts w:ascii="Times New Roman" w:eastAsia="Times New Roman" w:hAnsi="Times New Roman" w:cs="Times New Roman"/>
          <w:kern w:val="0"/>
          <w:lang w:eastAsia="tr-TR"/>
          <w14:ligatures w14:val="none"/>
        </w:rPr>
      </w:pPr>
      <m:oMathPara>
        <m:oMath>
          <m:r>
            <w:rPr>
              <w:rFonts w:ascii="Cambria Math" w:eastAsia="Times New Roman" w:hAnsi="Cambria Math" w:cs="Times New Roman"/>
              <w:kern w:val="0"/>
              <w:lang w:eastAsia="tr-TR"/>
              <w14:ligatures w14:val="none"/>
            </w:rPr>
            <m:t>C=</m:t>
          </m:r>
          <m:f>
            <m:fPr>
              <m:ctrlPr>
                <w:rPr>
                  <w:rFonts w:ascii="Cambria Math" w:eastAsia="Times New Roman" w:hAnsi="Cambria Math" w:cs="Times New Roman"/>
                  <w:kern w:val="0"/>
                  <w:lang w:eastAsia="tr-TR"/>
                  <w14:ligatures w14:val="none"/>
                </w:rPr>
              </m:ctrlPr>
            </m:fPr>
            <m:num>
              <m:r>
                <w:rPr>
                  <w:rFonts w:ascii="Cambria Math" w:eastAsia="Times New Roman" w:hAnsi="Cambria Math" w:cs="Times New Roman"/>
                  <w:kern w:val="0"/>
                  <w:lang w:eastAsia="tr-TR"/>
                  <w14:ligatures w14:val="none"/>
                </w:rPr>
                <m:t>A</m:t>
              </m:r>
            </m:num>
            <m:den>
              <m:r>
                <w:rPr>
                  <w:rFonts w:ascii="Cambria Math" w:eastAsia="Times New Roman" w:hAnsi="Cambria Math" w:cs="Times New Roman"/>
                  <w:kern w:val="0"/>
                  <w:lang w:eastAsia="tr-TR"/>
                  <w14:ligatures w14:val="none"/>
                </w:rPr>
                <m:t>a⋅b</m:t>
              </m:r>
            </m:den>
          </m:f>
          <m:r>
            <m:rPr>
              <m:sty m:val="p"/>
            </m:rPr>
            <w:rPr>
              <w:rFonts w:ascii="Times New Roman" w:eastAsia="Times New Roman" w:hAnsi="Times New Roman" w:cs="Times New Roman"/>
              <w:kern w:val="0"/>
              <w:lang w:eastAsia="tr-TR"/>
              <w14:ligatures w14:val="none"/>
            </w:rPr>
            <w:br/>
          </m:r>
        </m:oMath>
      </m:oMathPara>
    </w:p>
    <w:p w14:paraId="35651C3F" w14:textId="77777777" w:rsidR="003E42A8" w:rsidRPr="003E42A8" w:rsidRDefault="003E42A8" w:rsidP="003E42A8">
      <w:pPr>
        <w:spacing w:before="100" w:beforeAutospacing="1" w:after="100" w:afterAutospacing="1" w:line="240" w:lineRule="auto"/>
        <w:rPr>
          <w:rFonts w:ascii="Times New Roman" w:eastAsia="Times New Roman" w:hAnsi="Times New Roman" w:cs="Times New Roman"/>
          <w:kern w:val="0"/>
          <w:lang w:eastAsia="tr-TR"/>
          <w14:ligatures w14:val="none"/>
        </w:rPr>
      </w:pPr>
      <w:r w:rsidRPr="003E42A8">
        <w:rPr>
          <w:rFonts w:ascii="Times New Roman" w:eastAsia="Times New Roman" w:hAnsi="Times New Roman" w:cs="Times New Roman"/>
          <w:kern w:val="0"/>
          <w:lang w:eastAsia="tr-TR"/>
          <w14:ligatures w14:val="none"/>
        </w:rPr>
        <w:t xml:space="preserve">Yani ölçülen </w:t>
      </w:r>
      <w:r w:rsidRPr="003E42A8">
        <w:rPr>
          <w:rFonts w:ascii="Times New Roman" w:eastAsia="Times New Roman" w:hAnsi="Times New Roman" w:cs="Times New Roman"/>
          <w:b/>
          <w:bCs/>
          <w:kern w:val="0"/>
          <w:lang w:eastAsia="tr-TR"/>
          <w14:ligatures w14:val="none"/>
        </w:rPr>
        <w:t>A</w:t>
      </w:r>
      <w:r w:rsidRPr="003E42A8">
        <w:rPr>
          <w:rFonts w:ascii="Times New Roman" w:eastAsia="Times New Roman" w:hAnsi="Times New Roman" w:cs="Times New Roman"/>
          <w:kern w:val="0"/>
          <w:lang w:eastAsia="tr-TR"/>
          <w14:ligatures w14:val="none"/>
        </w:rPr>
        <w:t xml:space="preserve"> değeri, </w:t>
      </w:r>
      <w:r w:rsidRPr="003E42A8">
        <w:rPr>
          <w:rFonts w:ascii="Times New Roman" w:eastAsia="Times New Roman" w:hAnsi="Times New Roman" w:cs="Times New Roman"/>
          <w:b/>
          <w:bCs/>
          <w:kern w:val="0"/>
          <w:lang w:eastAsia="tr-TR"/>
          <w14:ligatures w14:val="none"/>
        </w:rPr>
        <w:t>a</w:t>
      </w:r>
      <w:r w:rsidRPr="003E42A8">
        <w:rPr>
          <w:rFonts w:ascii="Times New Roman" w:eastAsia="Times New Roman" w:hAnsi="Times New Roman" w:cs="Times New Roman"/>
          <w:kern w:val="0"/>
          <w:lang w:eastAsia="tr-TR"/>
          <w14:ligatures w14:val="none"/>
        </w:rPr>
        <w:t xml:space="preserve"> ve </w:t>
      </w:r>
      <w:r w:rsidRPr="003E42A8">
        <w:rPr>
          <w:rFonts w:ascii="Times New Roman" w:eastAsia="Times New Roman" w:hAnsi="Times New Roman" w:cs="Times New Roman"/>
          <w:b/>
          <w:bCs/>
          <w:kern w:val="0"/>
          <w:lang w:eastAsia="tr-TR"/>
          <w14:ligatures w14:val="none"/>
        </w:rPr>
        <w:t>b</w:t>
      </w:r>
      <w:r w:rsidRPr="003E42A8">
        <w:rPr>
          <w:rFonts w:ascii="Times New Roman" w:eastAsia="Times New Roman" w:hAnsi="Times New Roman" w:cs="Times New Roman"/>
          <w:kern w:val="0"/>
          <w:lang w:eastAsia="tr-TR"/>
          <w14:ligatures w14:val="none"/>
        </w:rPr>
        <w:t xml:space="preserve"> ile ilişkilendirilerek örneğin derişimi bulunur.</w:t>
      </w:r>
    </w:p>
    <w:p w14:paraId="4B39DFF5" w14:textId="77777777" w:rsidR="00F217C1" w:rsidRPr="00F217C1" w:rsidRDefault="00F217C1" w:rsidP="00F217C1">
      <w:pPr>
        <w:tabs>
          <w:tab w:val="left" w:pos="1031"/>
        </w:tabs>
        <w:jc w:val="both"/>
        <w:rPr>
          <w:rFonts w:ascii="Times New Roman" w:hAnsi="Times New Roman" w:cs="Times New Roman"/>
          <w:b/>
          <w:bCs/>
        </w:rPr>
      </w:pPr>
      <w:r w:rsidRPr="00F217C1">
        <w:rPr>
          <w:rFonts w:ascii="Times New Roman" w:hAnsi="Times New Roman" w:cs="Times New Roman"/>
          <w:b/>
          <w:bCs/>
        </w:rPr>
        <w:t>3) Referans Yöntemi (Standart ile)</w:t>
      </w:r>
    </w:p>
    <w:p w14:paraId="065197BE" w14:textId="77777777" w:rsidR="00F217C1" w:rsidRPr="00F217C1" w:rsidRDefault="00F217C1" w:rsidP="00F217C1">
      <w:pPr>
        <w:tabs>
          <w:tab w:val="left" w:pos="1031"/>
        </w:tabs>
        <w:jc w:val="both"/>
        <w:rPr>
          <w:rFonts w:ascii="Times New Roman" w:hAnsi="Times New Roman" w:cs="Times New Roman"/>
          <w:sz w:val="20"/>
          <w:szCs w:val="20"/>
        </w:rPr>
      </w:pPr>
      <w:r w:rsidRPr="00F217C1">
        <w:rPr>
          <w:rFonts w:ascii="Times New Roman" w:hAnsi="Times New Roman" w:cs="Times New Roman"/>
          <w:b/>
          <w:bCs/>
          <w:sz w:val="20"/>
          <w:szCs w:val="20"/>
        </w:rPr>
        <w:t>Beer–Lambert:</w:t>
      </w:r>
    </w:p>
    <w:p w14:paraId="727D9BC8" w14:textId="1B473A64" w:rsidR="00F217C1" w:rsidRPr="00F217C1" w:rsidRDefault="00F217C1" w:rsidP="00F217C1">
      <w:pPr>
        <w:tabs>
          <w:tab w:val="left" w:pos="1031"/>
        </w:tabs>
        <w:jc w:val="both"/>
        <w:rPr>
          <w:rFonts w:ascii="Times New Roman" w:hAnsi="Times New Roman" w:cs="Times New Roman"/>
          <w:sz w:val="20"/>
          <w:szCs w:val="20"/>
        </w:rPr>
      </w:pPr>
      <m:oMathPara>
        <m:oMath>
          <m:r>
            <w:rPr>
              <w:rFonts w:ascii="Cambria Math" w:hAnsi="Cambria Math" w:cs="Times New Roman"/>
              <w:sz w:val="20"/>
              <w:szCs w:val="20"/>
            </w:rPr>
            <m:t>A=a⋅b⋅C</m:t>
          </m:r>
          <m:r>
            <w:rPr>
              <w:rFonts w:ascii="Times New Roman" w:hAnsi="Times New Roman" w:cs="Times New Roman"/>
              <w:sz w:val="20"/>
              <w:szCs w:val="20"/>
            </w:rPr>
            <w:br/>
          </m:r>
        </m:oMath>
      </m:oMathPara>
      <w:r w:rsidRPr="00F217C1">
        <w:rPr>
          <w:rFonts w:ascii="Times New Roman" w:hAnsi="Times New Roman" w:cs="Times New Roman"/>
          <w:b/>
          <w:bCs/>
          <w:sz w:val="20"/>
          <w:szCs w:val="20"/>
        </w:rPr>
        <w:t>Standart:</w:t>
      </w:r>
    </w:p>
    <w:p w14:paraId="1B15C04F" w14:textId="71204D5D" w:rsidR="00F217C1" w:rsidRPr="00F217C1" w:rsidRDefault="00120089" w:rsidP="00F217C1">
      <w:pPr>
        <w:tabs>
          <w:tab w:val="left" w:pos="1031"/>
        </w:tabs>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A</m:t>
              </m:r>
            </m:e>
            <m:sub>
              <m:r>
                <w:rPr>
                  <w:rFonts w:ascii="Cambria Math" w:hAnsi="Cambria Math" w:cs="Times New Roman"/>
                  <w:sz w:val="20"/>
                  <w:szCs w:val="20"/>
                </w:rPr>
                <m:t>st</m:t>
              </m:r>
            </m:sub>
          </m:sSub>
          <m:r>
            <w:rPr>
              <w:rFonts w:ascii="Cambria Math" w:hAnsi="Cambria Math" w:cs="Times New Roman"/>
              <w:sz w:val="20"/>
              <w:szCs w:val="20"/>
            </w:rPr>
            <m:t>=a⋅b⋅</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st</m:t>
              </m:r>
            </m:sub>
          </m:sSub>
          <m:r>
            <m:rPr>
              <m:sty m:val="p"/>
            </m:rPr>
            <w:rPr>
              <w:rFonts w:ascii="Times New Roman" w:hAnsi="Times New Roman" w:cs="Times New Roman"/>
              <w:sz w:val="20"/>
              <w:szCs w:val="20"/>
            </w:rPr>
            <w:br/>
          </m:r>
        </m:oMath>
      </m:oMathPara>
      <w:r w:rsidR="00F217C1" w:rsidRPr="00F217C1">
        <w:rPr>
          <w:rFonts w:ascii="Times New Roman" w:hAnsi="Times New Roman" w:cs="Times New Roman"/>
          <w:b/>
          <w:bCs/>
          <w:sz w:val="20"/>
          <w:szCs w:val="20"/>
        </w:rPr>
        <w:t>Örnek:</w:t>
      </w:r>
    </w:p>
    <w:p w14:paraId="2E1066B2" w14:textId="7D845EF3" w:rsidR="00F217C1" w:rsidRPr="00F217C1" w:rsidRDefault="00120089" w:rsidP="00F217C1">
      <w:pPr>
        <w:tabs>
          <w:tab w:val="left" w:pos="1031"/>
        </w:tabs>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A</m:t>
              </m:r>
            </m:e>
            <m:sub>
              <m:acc>
                <m:accPr>
                  <m:chr m:val="̈"/>
                  <m:ctrlPr>
                    <w:rPr>
                      <w:rFonts w:ascii="Cambria Math" w:hAnsi="Cambria Math" w:cs="Times New Roman"/>
                      <w:sz w:val="20"/>
                      <w:szCs w:val="20"/>
                    </w:rPr>
                  </m:ctrlPr>
                </m:accPr>
                <m:e>
                  <m:r>
                    <w:rPr>
                      <w:rFonts w:ascii="Cambria Math" w:hAnsi="Cambria Math" w:cs="Times New Roman"/>
                      <w:sz w:val="20"/>
                      <w:szCs w:val="20"/>
                    </w:rPr>
                    <m:t>o</m:t>
                  </m:r>
                </m:e>
              </m:acc>
              <m:r>
                <w:rPr>
                  <w:rFonts w:ascii="Cambria Math" w:hAnsi="Cambria Math" w:cs="Times New Roman"/>
                  <w:sz w:val="20"/>
                  <w:szCs w:val="20"/>
                </w:rPr>
                <m:t>r</m:t>
              </m:r>
            </m:sub>
          </m:sSub>
          <m:r>
            <w:rPr>
              <w:rFonts w:ascii="Cambria Math" w:hAnsi="Cambria Math" w:cs="Times New Roman"/>
              <w:sz w:val="20"/>
              <w:szCs w:val="20"/>
            </w:rPr>
            <m:t>=a⋅b⋅</m:t>
          </m:r>
          <m:sSub>
            <m:sSubPr>
              <m:ctrlPr>
                <w:rPr>
                  <w:rFonts w:ascii="Cambria Math" w:hAnsi="Cambria Math" w:cs="Times New Roman"/>
                  <w:sz w:val="20"/>
                  <w:szCs w:val="20"/>
                </w:rPr>
              </m:ctrlPr>
            </m:sSubPr>
            <m:e>
              <m:r>
                <w:rPr>
                  <w:rFonts w:ascii="Cambria Math" w:hAnsi="Cambria Math" w:cs="Times New Roman"/>
                  <w:sz w:val="20"/>
                  <w:szCs w:val="20"/>
                </w:rPr>
                <m:t>C</m:t>
              </m:r>
            </m:e>
            <m:sub>
              <m:acc>
                <m:accPr>
                  <m:chr m:val="̈"/>
                  <m:ctrlPr>
                    <w:rPr>
                      <w:rFonts w:ascii="Cambria Math" w:hAnsi="Cambria Math" w:cs="Times New Roman"/>
                      <w:sz w:val="20"/>
                      <w:szCs w:val="20"/>
                    </w:rPr>
                  </m:ctrlPr>
                </m:accPr>
                <m:e>
                  <m:r>
                    <w:rPr>
                      <w:rFonts w:ascii="Cambria Math" w:hAnsi="Cambria Math" w:cs="Times New Roman"/>
                      <w:sz w:val="20"/>
                      <w:szCs w:val="20"/>
                    </w:rPr>
                    <m:t>o</m:t>
                  </m:r>
                </m:e>
              </m:acc>
              <m:r>
                <w:rPr>
                  <w:rFonts w:ascii="Cambria Math" w:hAnsi="Cambria Math" w:cs="Times New Roman"/>
                  <w:sz w:val="20"/>
                  <w:szCs w:val="20"/>
                </w:rPr>
                <m:t>r</m:t>
              </m:r>
            </m:sub>
          </m:sSub>
          <m:r>
            <m:rPr>
              <m:sty m:val="p"/>
            </m:rPr>
            <w:rPr>
              <w:rFonts w:ascii="Times New Roman" w:hAnsi="Times New Roman" w:cs="Times New Roman"/>
              <w:sz w:val="20"/>
              <w:szCs w:val="20"/>
            </w:rPr>
            <w:br/>
          </m:r>
        </m:oMath>
      </m:oMathPara>
      <w:r w:rsidR="00F217C1" w:rsidRPr="00F217C1">
        <w:rPr>
          <w:rFonts w:ascii="Times New Roman" w:hAnsi="Times New Roman" w:cs="Times New Roman"/>
          <w:b/>
          <w:bCs/>
          <w:sz w:val="20"/>
          <w:szCs w:val="20"/>
        </w:rPr>
        <w:t>Oranlama:</w:t>
      </w:r>
    </w:p>
    <w:p w14:paraId="3690CA68" w14:textId="2E560A3E" w:rsidR="00F217C1" w:rsidRPr="00F217C1" w:rsidRDefault="00120089" w:rsidP="00F217C1">
      <w:pPr>
        <w:tabs>
          <w:tab w:val="left" w:pos="1031"/>
        </w:tabs>
        <w:jc w:val="both"/>
        <w:rPr>
          <w:rFonts w:ascii="Times New Roman" w:hAnsi="Times New Roman" w:cs="Times New Roman"/>
        </w:rPr>
      </w:pPr>
      <m:oMathPara>
        <m:oMath>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A</m:t>
                  </m:r>
                </m:e>
                <m:sub>
                  <m:r>
                    <w:rPr>
                      <w:rFonts w:ascii="Cambria Math" w:hAnsi="Cambria Math" w:cs="Times New Roman"/>
                      <w:sz w:val="20"/>
                      <w:szCs w:val="20"/>
                    </w:rPr>
                    <m:t>st</m:t>
                  </m:r>
                </m:sub>
              </m:sSub>
            </m:num>
            <m:den>
              <m:sSub>
                <m:sSubPr>
                  <m:ctrlPr>
                    <w:rPr>
                      <w:rFonts w:ascii="Cambria Math" w:hAnsi="Cambria Math" w:cs="Times New Roman"/>
                      <w:sz w:val="20"/>
                      <w:szCs w:val="20"/>
                    </w:rPr>
                  </m:ctrlPr>
                </m:sSubPr>
                <m:e>
                  <m:r>
                    <w:rPr>
                      <w:rFonts w:ascii="Cambria Math" w:hAnsi="Cambria Math" w:cs="Times New Roman"/>
                      <w:sz w:val="20"/>
                      <w:szCs w:val="20"/>
                    </w:rPr>
                    <m:t>A</m:t>
                  </m:r>
                </m:e>
                <m:sub>
                  <m:acc>
                    <m:accPr>
                      <m:chr m:val="̈"/>
                      <m:ctrlPr>
                        <w:rPr>
                          <w:rFonts w:ascii="Cambria Math" w:hAnsi="Cambria Math" w:cs="Times New Roman"/>
                          <w:sz w:val="20"/>
                          <w:szCs w:val="20"/>
                        </w:rPr>
                      </m:ctrlPr>
                    </m:accPr>
                    <m:e>
                      <m:r>
                        <w:rPr>
                          <w:rFonts w:ascii="Cambria Math" w:hAnsi="Cambria Math" w:cs="Times New Roman"/>
                          <w:sz w:val="20"/>
                          <w:szCs w:val="20"/>
                        </w:rPr>
                        <m:t>o</m:t>
                      </m:r>
                    </m:e>
                  </m:acc>
                  <m:r>
                    <w:rPr>
                      <w:rFonts w:ascii="Cambria Math" w:hAnsi="Cambria Math" w:cs="Times New Roman"/>
                      <w:sz w:val="20"/>
                      <w:szCs w:val="20"/>
                    </w:rPr>
                    <m:t>r</m:t>
                  </m:r>
                </m:sub>
              </m:sSub>
            </m:den>
          </m:f>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a⋅b⋅</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st</m:t>
                  </m:r>
                </m:sub>
              </m:sSub>
            </m:num>
            <m:den>
              <m:r>
                <w:rPr>
                  <w:rFonts w:ascii="Cambria Math" w:hAnsi="Cambria Math" w:cs="Times New Roman"/>
                  <w:sz w:val="20"/>
                  <w:szCs w:val="20"/>
                </w:rPr>
                <m:t>a⋅b⋅</m:t>
              </m:r>
              <m:sSub>
                <m:sSubPr>
                  <m:ctrlPr>
                    <w:rPr>
                      <w:rFonts w:ascii="Cambria Math" w:hAnsi="Cambria Math" w:cs="Times New Roman"/>
                      <w:sz w:val="20"/>
                      <w:szCs w:val="20"/>
                    </w:rPr>
                  </m:ctrlPr>
                </m:sSubPr>
                <m:e>
                  <m:r>
                    <w:rPr>
                      <w:rFonts w:ascii="Cambria Math" w:hAnsi="Cambria Math" w:cs="Times New Roman"/>
                      <w:sz w:val="20"/>
                      <w:szCs w:val="20"/>
                    </w:rPr>
                    <m:t>C</m:t>
                  </m:r>
                </m:e>
                <m:sub>
                  <m:acc>
                    <m:accPr>
                      <m:chr m:val="̈"/>
                      <m:ctrlPr>
                        <w:rPr>
                          <w:rFonts w:ascii="Cambria Math" w:hAnsi="Cambria Math" w:cs="Times New Roman"/>
                          <w:sz w:val="20"/>
                          <w:szCs w:val="20"/>
                        </w:rPr>
                      </m:ctrlPr>
                    </m:accPr>
                    <m:e>
                      <m:r>
                        <w:rPr>
                          <w:rFonts w:ascii="Cambria Math" w:hAnsi="Cambria Math" w:cs="Times New Roman"/>
                          <w:sz w:val="20"/>
                          <w:szCs w:val="20"/>
                        </w:rPr>
                        <m:t>o</m:t>
                      </m:r>
                    </m:e>
                  </m:acc>
                  <m:r>
                    <w:rPr>
                      <w:rFonts w:ascii="Cambria Math" w:hAnsi="Cambria Math" w:cs="Times New Roman"/>
                      <w:sz w:val="20"/>
                      <w:szCs w:val="20"/>
                    </w:rPr>
                    <m:t>r</m:t>
                  </m:r>
                </m:sub>
              </m:sSub>
            </m:den>
          </m:f>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A</m:t>
                  </m:r>
                </m:e>
                <m:sub>
                  <m:r>
                    <w:rPr>
                      <w:rFonts w:ascii="Cambria Math" w:hAnsi="Cambria Math" w:cs="Times New Roman"/>
                      <w:sz w:val="20"/>
                      <w:szCs w:val="20"/>
                    </w:rPr>
                    <m:t>st</m:t>
                  </m:r>
                </m:sub>
              </m:sSub>
            </m:num>
            <m:den>
              <m:sSub>
                <m:sSubPr>
                  <m:ctrlPr>
                    <w:rPr>
                      <w:rFonts w:ascii="Cambria Math" w:hAnsi="Cambria Math" w:cs="Times New Roman"/>
                      <w:sz w:val="20"/>
                      <w:szCs w:val="20"/>
                    </w:rPr>
                  </m:ctrlPr>
                </m:sSubPr>
                <m:e>
                  <m:r>
                    <w:rPr>
                      <w:rFonts w:ascii="Cambria Math" w:hAnsi="Cambria Math" w:cs="Times New Roman"/>
                      <w:sz w:val="20"/>
                      <w:szCs w:val="20"/>
                    </w:rPr>
                    <m:t>A</m:t>
                  </m:r>
                </m:e>
                <m:sub>
                  <m:acc>
                    <m:accPr>
                      <m:chr m:val="̈"/>
                      <m:ctrlPr>
                        <w:rPr>
                          <w:rFonts w:ascii="Cambria Math" w:hAnsi="Cambria Math" w:cs="Times New Roman"/>
                          <w:sz w:val="20"/>
                          <w:szCs w:val="20"/>
                        </w:rPr>
                      </m:ctrlPr>
                    </m:accPr>
                    <m:e>
                      <m:r>
                        <w:rPr>
                          <w:rFonts w:ascii="Cambria Math" w:hAnsi="Cambria Math" w:cs="Times New Roman"/>
                          <w:sz w:val="20"/>
                          <w:szCs w:val="20"/>
                        </w:rPr>
                        <m:t>o</m:t>
                      </m:r>
                    </m:e>
                  </m:acc>
                  <m:r>
                    <w:rPr>
                      <w:rFonts w:ascii="Cambria Math" w:hAnsi="Cambria Math" w:cs="Times New Roman"/>
                      <w:sz w:val="20"/>
                      <w:szCs w:val="20"/>
                    </w:rPr>
                    <m:t>r</m:t>
                  </m:r>
                </m:sub>
              </m:sSub>
            </m:den>
          </m:f>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st</m:t>
                  </m:r>
                </m:sub>
              </m:sSub>
            </m:num>
            <m:den>
              <m:sSub>
                <m:sSubPr>
                  <m:ctrlPr>
                    <w:rPr>
                      <w:rFonts w:ascii="Cambria Math" w:hAnsi="Cambria Math" w:cs="Times New Roman"/>
                      <w:sz w:val="20"/>
                      <w:szCs w:val="20"/>
                    </w:rPr>
                  </m:ctrlPr>
                </m:sSubPr>
                <m:e>
                  <m:r>
                    <w:rPr>
                      <w:rFonts w:ascii="Cambria Math" w:hAnsi="Cambria Math" w:cs="Times New Roman"/>
                      <w:sz w:val="20"/>
                      <w:szCs w:val="20"/>
                    </w:rPr>
                    <m:t>C</m:t>
                  </m:r>
                </m:e>
                <m:sub>
                  <m:acc>
                    <m:accPr>
                      <m:chr m:val="̈"/>
                      <m:ctrlPr>
                        <w:rPr>
                          <w:rFonts w:ascii="Cambria Math" w:hAnsi="Cambria Math" w:cs="Times New Roman"/>
                          <w:sz w:val="20"/>
                          <w:szCs w:val="20"/>
                        </w:rPr>
                      </m:ctrlPr>
                    </m:accPr>
                    <m:e>
                      <m:r>
                        <w:rPr>
                          <w:rFonts w:ascii="Cambria Math" w:hAnsi="Cambria Math" w:cs="Times New Roman"/>
                          <w:sz w:val="20"/>
                          <w:szCs w:val="20"/>
                        </w:rPr>
                        <m:t>o</m:t>
                      </m:r>
                    </m:e>
                  </m:acc>
                  <m:r>
                    <w:rPr>
                      <w:rFonts w:ascii="Cambria Math" w:hAnsi="Cambria Math" w:cs="Times New Roman"/>
                      <w:sz w:val="20"/>
                      <w:szCs w:val="20"/>
                    </w:rPr>
                    <m:t>r</m:t>
                  </m:r>
                </m:sub>
              </m:sSub>
            </m:den>
          </m:f>
          <m:r>
            <m:rPr>
              <m:sty m:val="p"/>
            </m:rPr>
            <w:rPr>
              <w:rFonts w:ascii="Times New Roman" w:hAnsi="Times New Roman" w:cs="Times New Roman"/>
              <w:sz w:val="20"/>
              <w:szCs w:val="20"/>
            </w:rPr>
            <w:br/>
          </m:r>
        </m:oMath>
      </m:oMathPara>
      <w:r w:rsidR="00F217C1" w:rsidRPr="00F217C1">
        <w:rPr>
          <w:rFonts w:ascii="Times New Roman" w:hAnsi="Times New Roman" w:cs="Times New Roman"/>
          <w:b/>
          <w:bCs/>
          <w:sz w:val="20"/>
          <w:szCs w:val="20"/>
        </w:rPr>
        <w:t>Sonuç</w:t>
      </w:r>
    </w:p>
    <w:p w14:paraId="188EDBF5" w14:textId="241D0E12" w:rsidR="00C930EF" w:rsidRPr="00A77055" w:rsidRDefault="00120089" w:rsidP="00A77055">
      <w:pPr>
        <w:tabs>
          <w:tab w:val="left" w:pos="1031"/>
        </w:tabs>
        <w:jc w:val="both"/>
        <w:rPr>
          <w:rFonts w:ascii="Times New Roman" w:hAnsi="Times New Roman" w:cs="Times New Roman"/>
          <w:i/>
          <w:iCs/>
        </w:rPr>
      </w:pPr>
      <m:oMathPara>
        <m:oMath>
          <m:borderBox>
            <m:borderBoxPr>
              <m:ctrlPr>
                <w:rPr>
                  <w:rFonts w:ascii="Cambria Math" w:hAnsi="Cambria Math" w:cs="Times New Roman"/>
                  <w:sz w:val="20"/>
                  <w:szCs w:val="20"/>
                </w:rPr>
              </m:ctrlPr>
            </m:borderBoxPr>
            <m:e>
              <m:r>
                <m:rPr>
                  <m:nor/>
                </m:rPr>
                <w:rPr>
                  <w:rFonts w:ascii="Times New Roman" w:hAnsi="Times New Roman" w:cs="Times New Roman"/>
                  <w:sz w:val="20"/>
                  <w:szCs w:val="20"/>
                </w:rPr>
                <m:t> </m:t>
              </m:r>
              <m:sSub>
                <m:sSubPr>
                  <m:ctrlPr>
                    <w:rPr>
                      <w:rFonts w:ascii="Cambria Math" w:hAnsi="Cambria Math" w:cs="Times New Roman"/>
                      <w:sz w:val="20"/>
                      <w:szCs w:val="20"/>
                    </w:rPr>
                  </m:ctrlPr>
                </m:sSubPr>
                <m:e>
                  <m:r>
                    <w:rPr>
                      <w:rFonts w:ascii="Cambria Math" w:hAnsi="Cambria Math" w:cs="Times New Roman"/>
                      <w:sz w:val="20"/>
                      <w:szCs w:val="20"/>
                    </w:rPr>
                    <m:t>C</m:t>
                  </m:r>
                </m:e>
                <m:sub>
                  <m:acc>
                    <m:accPr>
                      <m:chr m:val="̈"/>
                      <m:ctrlPr>
                        <w:rPr>
                          <w:rFonts w:ascii="Cambria Math" w:hAnsi="Cambria Math" w:cs="Times New Roman"/>
                          <w:sz w:val="20"/>
                          <w:szCs w:val="20"/>
                        </w:rPr>
                      </m:ctrlPr>
                    </m:accPr>
                    <m:e>
                      <m:r>
                        <w:rPr>
                          <w:rFonts w:ascii="Cambria Math" w:hAnsi="Cambria Math" w:cs="Times New Roman"/>
                          <w:sz w:val="20"/>
                          <w:szCs w:val="20"/>
                        </w:rPr>
                        <m:t>o</m:t>
                      </m:r>
                    </m:e>
                  </m:acc>
                  <m:r>
                    <w:rPr>
                      <w:rFonts w:ascii="Cambria Math" w:hAnsi="Cambria Math" w:cs="Times New Roman"/>
                      <w:sz w:val="20"/>
                      <w:szCs w:val="20"/>
                    </w:rPr>
                    <m:t>r</m:t>
                  </m:r>
                </m:sub>
              </m:sSub>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A</m:t>
                      </m:r>
                    </m:e>
                    <m:sub>
                      <m:acc>
                        <m:accPr>
                          <m:chr m:val="̈"/>
                          <m:ctrlPr>
                            <w:rPr>
                              <w:rFonts w:ascii="Cambria Math" w:hAnsi="Cambria Math" w:cs="Times New Roman"/>
                              <w:sz w:val="20"/>
                              <w:szCs w:val="20"/>
                            </w:rPr>
                          </m:ctrlPr>
                        </m:accPr>
                        <m:e>
                          <m:r>
                            <w:rPr>
                              <w:rFonts w:ascii="Cambria Math" w:hAnsi="Cambria Math" w:cs="Times New Roman"/>
                              <w:sz w:val="20"/>
                              <w:szCs w:val="20"/>
                            </w:rPr>
                            <m:t>o</m:t>
                          </m:r>
                        </m:e>
                      </m:acc>
                      <m:r>
                        <w:rPr>
                          <w:rFonts w:ascii="Cambria Math" w:hAnsi="Cambria Math" w:cs="Times New Roman"/>
                          <w:sz w:val="20"/>
                          <w:szCs w:val="20"/>
                        </w:rPr>
                        <m:t>r</m:t>
                      </m:r>
                    </m:sub>
                  </m:sSub>
                </m:num>
                <m:den>
                  <m:sSub>
                    <m:sSubPr>
                      <m:ctrlPr>
                        <w:rPr>
                          <w:rFonts w:ascii="Cambria Math" w:hAnsi="Cambria Math" w:cs="Times New Roman"/>
                          <w:sz w:val="20"/>
                          <w:szCs w:val="20"/>
                        </w:rPr>
                      </m:ctrlPr>
                    </m:sSubPr>
                    <m:e>
                      <m:r>
                        <w:rPr>
                          <w:rFonts w:ascii="Cambria Math" w:hAnsi="Cambria Math" w:cs="Times New Roman"/>
                          <w:sz w:val="20"/>
                          <w:szCs w:val="20"/>
                        </w:rPr>
                        <m:t>A</m:t>
                      </m:r>
                    </m:e>
                    <m:sub>
                      <m:r>
                        <w:rPr>
                          <w:rFonts w:ascii="Cambria Math" w:hAnsi="Cambria Math" w:cs="Times New Roman"/>
                          <w:sz w:val="20"/>
                          <w:szCs w:val="20"/>
                        </w:rPr>
                        <m:t>st</m:t>
                      </m:r>
                    </m:sub>
                  </m:sSub>
                </m:den>
              </m:f>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st</m:t>
                  </m:r>
                </m:sub>
              </m:sSub>
              <m:r>
                <m:rPr>
                  <m:nor/>
                </m:rPr>
                <w:rPr>
                  <w:rFonts w:ascii="Times New Roman" w:hAnsi="Times New Roman" w:cs="Times New Roman"/>
                  <w:sz w:val="20"/>
                  <w:szCs w:val="20"/>
                </w:rPr>
                <m:t> </m:t>
              </m:r>
            </m:e>
          </m:borderBox>
          <m:r>
            <m:rPr>
              <m:sty m:val="p"/>
            </m:rPr>
            <w:rPr>
              <w:rFonts w:ascii="Times New Roman" w:hAnsi="Times New Roman" w:cs="Times New Roman"/>
            </w:rPr>
            <w:br/>
          </m:r>
        </m:oMath>
      </m:oMathPara>
      <w:r w:rsidR="00C930EF" w:rsidRPr="006A1B32">
        <w:rPr>
          <w:rFonts w:ascii="Times New Roman" w:hAnsi="Times New Roman" w:cs="Times New Roman"/>
          <w:b/>
          <w:bCs/>
        </w:rPr>
        <w:t>Konsantrasyon</w:t>
      </w:r>
      <w:r w:rsidR="00C930EF" w:rsidRPr="006A1B32">
        <w:rPr>
          <w:rFonts w:ascii="Times New Roman" w:hAnsi="Times New Roman" w:cs="Times New Roman"/>
          <w:b/>
          <w:bCs/>
          <w:spacing w:val="-4"/>
        </w:rPr>
        <w:t xml:space="preserve"> </w:t>
      </w:r>
      <w:r w:rsidR="00C930EF" w:rsidRPr="006A1B32">
        <w:rPr>
          <w:rFonts w:ascii="Times New Roman" w:hAnsi="Times New Roman" w:cs="Times New Roman"/>
          <w:b/>
          <w:bCs/>
          <w:spacing w:val="-2"/>
        </w:rPr>
        <w:t>Birimleri</w:t>
      </w:r>
    </w:p>
    <w:p w14:paraId="3B990D30" w14:textId="77777777" w:rsidR="00C930EF" w:rsidRDefault="00C930EF" w:rsidP="00C930EF">
      <w:pPr>
        <w:pStyle w:val="GvdeMetni"/>
        <w:spacing w:before="4"/>
        <w:rPr>
          <w:b/>
          <w:sz w:val="12"/>
        </w:rPr>
      </w:pPr>
    </w:p>
    <w:tbl>
      <w:tblPr>
        <w:tblStyle w:val="TableNormal"/>
        <w:tblW w:w="0" w:type="auto"/>
        <w:tblInd w:w="489" w:type="dxa"/>
        <w:tblLayout w:type="fixed"/>
        <w:tblLook w:val="01E0" w:firstRow="1" w:lastRow="1" w:firstColumn="1" w:lastColumn="1" w:noHBand="0" w:noVBand="0"/>
      </w:tblPr>
      <w:tblGrid>
        <w:gridCol w:w="730"/>
        <w:gridCol w:w="477"/>
        <w:gridCol w:w="1045"/>
      </w:tblGrid>
      <w:tr w:rsidR="00C930EF" w14:paraId="18B5BB2A" w14:textId="77777777" w:rsidTr="00117CF5">
        <w:trPr>
          <w:trHeight w:val="333"/>
        </w:trPr>
        <w:tc>
          <w:tcPr>
            <w:tcW w:w="730" w:type="dxa"/>
          </w:tcPr>
          <w:p w14:paraId="799BB357" w14:textId="77777777" w:rsidR="00C930EF" w:rsidRPr="00A77055" w:rsidRDefault="00C930EF" w:rsidP="00117CF5">
            <w:pPr>
              <w:pStyle w:val="TableParagraph"/>
              <w:spacing w:before="0" w:line="266" w:lineRule="exact"/>
              <w:ind w:left="50"/>
              <w:jc w:val="left"/>
              <w:rPr>
                <w:sz w:val="20"/>
                <w:szCs w:val="20"/>
              </w:rPr>
            </w:pPr>
            <w:r w:rsidRPr="00A77055">
              <w:rPr>
                <w:sz w:val="20"/>
                <w:szCs w:val="20"/>
              </w:rPr>
              <w:t xml:space="preserve">1 </w:t>
            </w:r>
            <w:r w:rsidRPr="00A77055">
              <w:rPr>
                <w:spacing w:val="-10"/>
                <w:sz w:val="20"/>
                <w:szCs w:val="20"/>
              </w:rPr>
              <w:t>g</w:t>
            </w:r>
          </w:p>
        </w:tc>
        <w:tc>
          <w:tcPr>
            <w:tcW w:w="477" w:type="dxa"/>
          </w:tcPr>
          <w:p w14:paraId="653C06B1" w14:textId="77777777" w:rsidR="00C930EF" w:rsidRPr="00A77055" w:rsidRDefault="00C930EF" w:rsidP="00117CF5">
            <w:pPr>
              <w:pStyle w:val="TableParagraph"/>
              <w:spacing w:before="0" w:line="266" w:lineRule="exact"/>
              <w:ind w:left="45"/>
              <w:rPr>
                <w:sz w:val="20"/>
                <w:szCs w:val="20"/>
              </w:rPr>
            </w:pPr>
            <w:r w:rsidRPr="00A77055">
              <w:rPr>
                <w:spacing w:val="-10"/>
                <w:sz w:val="20"/>
                <w:szCs w:val="20"/>
              </w:rPr>
              <w:t>=</w:t>
            </w:r>
          </w:p>
        </w:tc>
        <w:tc>
          <w:tcPr>
            <w:tcW w:w="1045" w:type="dxa"/>
          </w:tcPr>
          <w:p w14:paraId="4AD99854" w14:textId="77777777" w:rsidR="00C930EF" w:rsidRPr="00A77055" w:rsidRDefault="00C930EF" w:rsidP="00117CF5">
            <w:pPr>
              <w:pStyle w:val="TableParagraph"/>
              <w:spacing w:before="0" w:line="266" w:lineRule="exact"/>
              <w:ind w:left="104" w:right="6"/>
              <w:rPr>
                <w:sz w:val="20"/>
                <w:szCs w:val="20"/>
              </w:rPr>
            </w:pPr>
            <w:r w:rsidRPr="00A77055">
              <w:rPr>
                <w:sz w:val="20"/>
                <w:szCs w:val="20"/>
              </w:rPr>
              <w:t xml:space="preserve">1000 </w:t>
            </w:r>
            <w:r w:rsidRPr="00A77055">
              <w:rPr>
                <w:spacing w:val="-5"/>
                <w:sz w:val="20"/>
                <w:szCs w:val="20"/>
              </w:rPr>
              <w:t>mg</w:t>
            </w:r>
          </w:p>
        </w:tc>
      </w:tr>
      <w:tr w:rsidR="00C930EF" w14:paraId="23F2879C" w14:textId="77777777" w:rsidTr="00117CF5">
        <w:trPr>
          <w:trHeight w:val="436"/>
        </w:trPr>
        <w:tc>
          <w:tcPr>
            <w:tcW w:w="730" w:type="dxa"/>
          </w:tcPr>
          <w:p w14:paraId="0ED9FC46" w14:textId="33287D6D" w:rsidR="00C930EF" w:rsidRPr="00A77055" w:rsidRDefault="00A77055" w:rsidP="00117CF5">
            <w:pPr>
              <w:pStyle w:val="TableParagraph"/>
              <w:spacing w:before="68"/>
              <w:ind w:left="50"/>
              <w:jc w:val="left"/>
              <w:rPr>
                <w:sz w:val="20"/>
                <w:szCs w:val="20"/>
              </w:rPr>
            </w:pPr>
            <w:r>
              <w:rPr>
                <w:sz w:val="20"/>
                <w:szCs w:val="20"/>
              </w:rPr>
              <w:t xml:space="preserve"> </w:t>
            </w:r>
            <w:r w:rsidR="00C930EF" w:rsidRPr="00A77055">
              <w:rPr>
                <w:sz w:val="20"/>
                <w:szCs w:val="20"/>
              </w:rPr>
              <w:t xml:space="preserve">1 </w:t>
            </w:r>
            <w:r w:rsidR="00C930EF" w:rsidRPr="00A77055">
              <w:rPr>
                <w:spacing w:val="-5"/>
                <w:sz w:val="20"/>
                <w:szCs w:val="20"/>
              </w:rPr>
              <w:t>mg</w:t>
            </w:r>
          </w:p>
        </w:tc>
        <w:tc>
          <w:tcPr>
            <w:tcW w:w="477" w:type="dxa"/>
          </w:tcPr>
          <w:p w14:paraId="5BAFBDE1" w14:textId="77777777" w:rsidR="00C930EF" w:rsidRPr="00A77055" w:rsidRDefault="00C930EF" w:rsidP="00117CF5">
            <w:pPr>
              <w:pStyle w:val="TableParagraph"/>
              <w:spacing w:before="68"/>
              <w:ind w:left="45"/>
              <w:rPr>
                <w:sz w:val="20"/>
                <w:szCs w:val="20"/>
              </w:rPr>
            </w:pPr>
            <w:r w:rsidRPr="00A77055">
              <w:rPr>
                <w:spacing w:val="-10"/>
                <w:sz w:val="20"/>
                <w:szCs w:val="20"/>
              </w:rPr>
              <w:t>=</w:t>
            </w:r>
          </w:p>
        </w:tc>
        <w:tc>
          <w:tcPr>
            <w:tcW w:w="1045" w:type="dxa"/>
          </w:tcPr>
          <w:p w14:paraId="00144047" w14:textId="77777777" w:rsidR="00C930EF" w:rsidRPr="00A77055" w:rsidRDefault="00C930EF" w:rsidP="00117CF5">
            <w:pPr>
              <w:pStyle w:val="TableParagraph"/>
              <w:spacing w:before="68"/>
              <w:ind w:left="51"/>
              <w:rPr>
                <w:sz w:val="20"/>
                <w:szCs w:val="20"/>
              </w:rPr>
            </w:pPr>
            <w:r w:rsidRPr="00A77055">
              <w:rPr>
                <w:sz w:val="20"/>
                <w:szCs w:val="20"/>
              </w:rPr>
              <w:t>1000</w:t>
            </w:r>
            <w:r w:rsidRPr="00A77055">
              <w:rPr>
                <w:spacing w:val="2"/>
                <w:sz w:val="20"/>
                <w:szCs w:val="20"/>
              </w:rPr>
              <w:t xml:space="preserve"> </w:t>
            </w:r>
            <w:r w:rsidRPr="00A77055">
              <w:rPr>
                <w:rFonts w:ascii="Symbol" w:hAnsi="Symbol"/>
                <w:spacing w:val="-5"/>
                <w:sz w:val="20"/>
                <w:szCs w:val="20"/>
              </w:rPr>
              <w:t></w:t>
            </w:r>
            <w:r w:rsidRPr="00A77055">
              <w:rPr>
                <w:spacing w:val="-5"/>
                <w:sz w:val="20"/>
                <w:szCs w:val="20"/>
              </w:rPr>
              <w:t>g</w:t>
            </w:r>
          </w:p>
        </w:tc>
      </w:tr>
      <w:tr w:rsidR="00C930EF" w14:paraId="141E0503" w14:textId="77777777" w:rsidTr="00117CF5">
        <w:trPr>
          <w:trHeight w:val="446"/>
        </w:trPr>
        <w:tc>
          <w:tcPr>
            <w:tcW w:w="730" w:type="dxa"/>
          </w:tcPr>
          <w:p w14:paraId="2A493EC5" w14:textId="77777777" w:rsidR="00C930EF" w:rsidRPr="00A77055" w:rsidRDefault="00C930EF" w:rsidP="00117CF5">
            <w:pPr>
              <w:pStyle w:val="TableParagraph"/>
              <w:spacing w:before="73"/>
              <w:ind w:left="50"/>
              <w:jc w:val="left"/>
              <w:rPr>
                <w:sz w:val="20"/>
                <w:szCs w:val="20"/>
              </w:rPr>
            </w:pPr>
            <w:r w:rsidRPr="00A77055">
              <w:rPr>
                <w:sz w:val="20"/>
                <w:szCs w:val="20"/>
              </w:rPr>
              <w:t>1</w:t>
            </w:r>
            <w:r w:rsidRPr="00A77055">
              <w:rPr>
                <w:spacing w:val="2"/>
                <w:sz w:val="20"/>
                <w:szCs w:val="20"/>
              </w:rPr>
              <w:t xml:space="preserve"> </w:t>
            </w:r>
            <w:r w:rsidRPr="00A77055">
              <w:rPr>
                <w:rFonts w:ascii="Symbol" w:hAnsi="Symbol"/>
                <w:spacing w:val="-5"/>
                <w:sz w:val="20"/>
                <w:szCs w:val="20"/>
              </w:rPr>
              <w:t></w:t>
            </w:r>
            <w:r w:rsidRPr="00A77055">
              <w:rPr>
                <w:spacing w:val="-5"/>
                <w:sz w:val="20"/>
                <w:szCs w:val="20"/>
              </w:rPr>
              <w:t>g</w:t>
            </w:r>
          </w:p>
        </w:tc>
        <w:tc>
          <w:tcPr>
            <w:tcW w:w="477" w:type="dxa"/>
          </w:tcPr>
          <w:p w14:paraId="56F9DD89" w14:textId="77777777" w:rsidR="00C930EF" w:rsidRPr="00A77055" w:rsidRDefault="00C930EF" w:rsidP="00117CF5">
            <w:pPr>
              <w:pStyle w:val="TableParagraph"/>
              <w:spacing w:before="74"/>
              <w:ind w:left="45"/>
              <w:rPr>
                <w:sz w:val="20"/>
                <w:szCs w:val="20"/>
              </w:rPr>
            </w:pPr>
            <w:r w:rsidRPr="00A77055">
              <w:rPr>
                <w:spacing w:val="-10"/>
                <w:sz w:val="20"/>
                <w:szCs w:val="20"/>
              </w:rPr>
              <w:t>=</w:t>
            </w:r>
          </w:p>
        </w:tc>
        <w:tc>
          <w:tcPr>
            <w:tcW w:w="1045" w:type="dxa"/>
          </w:tcPr>
          <w:p w14:paraId="4AB4C608" w14:textId="77777777" w:rsidR="00C930EF" w:rsidRPr="00A77055" w:rsidRDefault="00C930EF" w:rsidP="00117CF5">
            <w:pPr>
              <w:pStyle w:val="TableParagraph"/>
              <w:spacing w:before="74"/>
              <w:ind w:left="32"/>
              <w:rPr>
                <w:sz w:val="20"/>
                <w:szCs w:val="20"/>
              </w:rPr>
            </w:pPr>
            <w:r w:rsidRPr="00A77055">
              <w:rPr>
                <w:sz w:val="20"/>
                <w:szCs w:val="20"/>
              </w:rPr>
              <w:t xml:space="preserve">1000 </w:t>
            </w:r>
            <w:r w:rsidRPr="00A77055">
              <w:rPr>
                <w:spacing w:val="-5"/>
                <w:sz w:val="20"/>
                <w:szCs w:val="20"/>
              </w:rPr>
              <w:t>ng</w:t>
            </w:r>
          </w:p>
        </w:tc>
      </w:tr>
      <w:tr w:rsidR="00C930EF" w14:paraId="48241F2F" w14:textId="77777777" w:rsidTr="00117CF5">
        <w:trPr>
          <w:trHeight w:val="419"/>
        </w:trPr>
        <w:tc>
          <w:tcPr>
            <w:tcW w:w="730" w:type="dxa"/>
          </w:tcPr>
          <w:p w14:paraId="5EB31157" w14:textId="77777777" w:rsidR="00C930EF" w:rsidRPr="00A77055" w:rsidRDefault="00C930EF" w:rsidP="00117CF5">
            <w:pPr>
              <w:pStyle w:val="TableParagraph"/>
              <w:spacing w:before="69"/>
              <w:ind w:left="50"/>
              <w:jc w:val="left"/>
              <w:rPr>
                <w:sz w:val="20"/>
                <w:szCs w:val="20"/>
              </w:rPr>
            </w:pPr>
            <w:r w:rsidRPr="00A77055">
              <w:rPr>
                <w:sz w:val="20"/>
                <w:szCs w:val="20"/>
              </w:rPr>
              <w:t xml:space="preserve">1 </w:t>
            </w:r>
            <w:r w:rsidRPr="00A77055">
              <w:rPr>
                <w:spacing w:val="-5"/>
                <w:sz w:val="20"/>
                <w:szCs w:val="20"/>
              </w:rPr>
              <w:t>ng</w:t>
            </w:r>
          </w:p>
        </w:tc>
        <w:tc>
          <w:tcPr>
            <w:tcW w:w="477" w:type="dxa"/>
          </w:tcPr>
          <w:p w14:paraId="16AD1ADD" w14:textId="77777777" w:rsidR="00C930EF" w:rsidRPr="00A77055" w:rsidRDefault="00C930EF" w:rsidP="00117CF5">
            <w:pPr>
              <w:pStyle w:val="TableParagraph"/>
              <w:spacing w:before="69"/>
              <w:ind w:left="45"/>
              <w:rPr>
                <w:sz w:val="20"/>
                <w:szCs w:val="20"/>
              </w:rPr>
            </w:pPr>
            <w:r w:rsidRPr="00A77055">
              <w:rPr>
                <w:spacing w:val="-10"/>
                <w:sz w:val="20"/>
                <w:szCs w:val="20"/>
              </w:rPr>
              <w:t>=</w:t>
            </w:r>
          </w:p>
        </w:tc>
        <w:tc>
          <w:tcPr>
            <w:tcW w:w="1045" w:type="dxa"/>
          </w:tcPr>
          <w:p w14:paraId="09EC451D" w14:textId="77777777" w:rsidR="00C930EF" w:rsidRPr="00A77055" w:rsidRDefault="00C930EF" w:rsidP="00117CF5">
            <w:pPr>
              <w:pStyle w:val="TableParagraph"/>
              <w:spacing w:before="69"/>
              <w:ind w:left="32"/>
              <w:rPr>
                <w:sz w:val="20"/>
                <w:szCs w:val="20"/>
              </w:rPr>
            </w:pPr>
            <w:r w:rsidRPr="00A77055">
              <w:rPr>
                <w:sz w:val="20"/>
                <w:szCs w:val="20"/>
              </w:rPr>
              <w:t xml:space="preserve">1000 </w:t>
            </w:r>
            <w:r w:rsidRPr="00A77055">
              <w:rPr>
                <w:spacing w:val="-5"/>
                <w:sz w:val="20"/>
                <w:szCs w:val="20"/>
              </w:rPr>
              <w:t>pg</w:t>
            </w:r>
          </w:p>
        </w:tc>
      </w:tr>
      <w:tr w:rsidR="00C930EF" w14:paraId="379498D9" w14:textId="77777777" w:rsidTr="00117CF5">
        <w:trPr>
          <w:trHeight w:val="340"/>
        </w:trPr>
        <w:tc>
          <w:tcPr>
            <w:tcW w:w="730" w:type="dxa"/>
          </w:tcPr>
          <w:p w14:paraId="2CCD2A03" w14:textId="77777777" w:rsidR="00C930EF" w:rsidRPr="00A77055" w:rsidRDefault="00C930EF" w:rsidP="00117CF5">
            <w:pPr>
              <w:pStyle w:val="TableParagraph"/>
              <w:spacing w:before="64" w:line="256" w:lineRule="exact"/>
              <w:ind w:left="50"/>
              <w:jc w:val="left"/>
              <w:rPr>
                <w:sz w:val="20"/>
                <w:szCs w:val="20"/>
              </w:rPr>
            </w:pPr>
            <w:r w:rsidRPr="00A77055">
              <w:rPr>
                <w:sz w:val="20"/>
                <w:szCs w:val="20"/>
              </w:rPr>
              <w:t xml:space="preserve">1 </w:t>
            </w:r>
            <w:r w:rsidRPr="00A77055">
              <w:rPr>
                <w:spacing w:val="-5"/>
                <w:sz w:val="20"/>
                <w:szCs w:val="20"/>
              </w:rPr>
              <w:t>pg</w:t>
            </w:r>
          </w:p>
        </w:tc>
        <w:tc>
          <w:tcPr>
            <w:tcW w:w="477" w:type="dxa"/>
          </w:tcPr>
          <w:p w14:paraId="55D18A0F" w14:textId="77777777" w:rsidR="00C930EF" w:rsidRPr="00A77055" w:rsidRDefault="00C930EF" w:rsidP="00117CF5">
            <w:pPr>
              <w:pStyle w:val="TableParagraph"/>
              <w:spacing w:before="64" w:line="256" w:lineRule="exact"/>
              <w:ind w:left="45"/>
              <w:rPr>
                <w:sz w:val="20"/>
                <w:szCs w:val="20"/>
              </w:rPr>
            </w:pPr>
            <w:r w:rsidRPr="00A77055">
              <w:rPr>
                <w:spacing w:val="-10"/>
                <w:sz w:val="20"/>
                <w:szCs w:val="20"/>
              </w:rPr>
              <w:t>=</w:t>
            </w:r>
          </w:p>
        </w:tc>
        <w:tc>
          <w:tcPr>
            <w:tcW w:w="1045" w:type="dxa"/>
          </w:tcPr>
          <w:p w14:paraId="62AA3A8A" w14:textId="77777777" w:rsidR="00C930EF" w:rsidRPr="00A77055" w:rsidRDefault="00C930EF" w:rsidP="00117CF5">
            <w:pPr>
              <w:pStyle w:val="TableParagraph"/>
              <w:spacing w:before="64" w:line="256" w:lineRule="exact"/>
              <w:ind w:right="6"/>
              <w:rPr>
                <w:sz w:val="20"/>
                <w:szCs w:val="20"/>
              </w:rPr>
            </w:pPr>
            <w:r w:rsidRPr="00A77055">
              <w:rPr>
                <w:sz w:val="20"/>
                <w:szCs w:val="20"/>
              </w:rPr>
              <w:t xml:space="preserve">1000 </w:t>
            </w:r>
            <w:r w:rsidRPr="00A77055">
              <w:rPr>
                <w:spacing w:val="-5"/>
                <w:sz w:val="20"/>
                <w:szCs w:val="20"/>
              </w:rPr>
              <w:t>fg</w:t>
            </w:r>
          </w:p>
        </w:tc>
      </w:tr>
    </w:tbl>
    <w:p w14:paraId="350B6A7E" w14:textId="77777777" w:rsidR="00A77055" w:rsidRDefault="00A77055" w:rsidP="00A77055">
      <w:pPr>
        <w:pStyle w:val="GvdeMetni"/>
        <w:ind w:left="424"/>
        <w:rPr>
          <w:sz w:val="20"/>
          <w:szCs w:val="20"/>
        </w:rPr>
      </w:pPr>
      <w:r>
        <w:rPr>
          <w:sz w:val="20"/>
          <w:szCs w:val="20"/>
        </w:rPr>
        <w:t xml:space="preserve"> </w:t>
      </w:r>
    </w:p>
    <w:p w14:paraId="38C3A2F9" w14:textId="484C5FFE" w:rsidR="00A77055" w:rsidRPr="00A77055" w:rsidRDefault="00A77055" w:rsidP="00A77055">
      <w:pPr>
        <w:pStyle w:val="GvdeMetni"/>
        <w:ind w:left="424"/>
        <w:rPr>
          <w:sz w:val="20"/>
          <w:szCs w:val="20"/>
        </w:rPr>
      </w:pPr>
      <w:r w:rsidRPr="00A77055">
        <w:rPr>
          <w:sz w:val="20"/>
          <w:szCs w:val="20"/>
        </w:rPr>
        <w:t>1 g</w:t>
      </w:r>
      <w:r w:rsidRPr="00A77055">
        <w:rPr>
          <w:spacing w:val="-3"/>
          <w:sz w:val="20"/>
          <w:szCs w:val="20"/>
        </w:rPr>
        <w:t xml:space="preserve"> </w:t>
      </w:r>
      <w:r w:rsidRPr="00A77055">
        <w:rPr>
          <w:sz w:val="20"/>
          <w:szCs w:val="20"/>
        </w:rPr>
        <w:t>= 10</w:t>
      </w:r>
      <w:r w:rsidRPr="00A77055">
        <w:rPr>
          <w:sz w:val="20"/>
          <w:szCs w:val="20"/>
          <w:vertAlign w:val="superscript"/>
        </w:rPr>
        <w:t>3</w:t>
      </w:r>
      <w:r w:rsidRPr="00A77055">
        <w:rPr>
          <w:spacing w:val="1"/>
          <w:sz w:val="20"/>
          <w:szCs w:val="20"/>
        </w:rPr>
        <w:t xml:space="preserve"> </w:t>
      </w:r>
      <w:r w:rsidRPr="00A77055">
        <w:rPr>
          <w:sz w:val="20"/>
          <w:szCs w:val="20"/>
        </w:rPr>
        <w:t>mg</w:t>
      </w:r>
      <w:r w:rsidRPr="00A77055">
        <w:rPr>
          <w:spacing w:val="-2"/>
          <w:sz w:val="20"/>
          <w:szCs w:val="20"/>
        </w:rPr>
        <w:t xml:space="preserve"> </w:t>
      </w:r>
      <w:r w:rsidRPr="00A77055">
        <w:rPr>
          <w:sz w:val="20"/>
          <w:szCs w:val="20"/>
        </w:rPr>
        <w:t>=</w:t>
      </w:r>
      <w:r w:rsidRPr="00A77055">
        <w:rPr>
          <w:spacing w:val="-1"/>
          <w:sz w:val="20"/>
          <w:szCs w:val="20"/>
        </w:rPr>
        <w:t xml:space="preserve"> </w:t>
      </w:r>
      <w:r w:rsidRPr="00A77055">
        <w:rPr>
          <w:sz w:val="20"/>
          <w:szCs w:val="20"/>
        </w:rPr>
        <w:t>10</w:t>
      </w:r>
      <w:r w:rsidRPr="00A77055">
        <w:rPr>
          <w:sz w:val="20"/>
          <w:szCs w:val="20"/>
          <w:vertAlign w:val="superscript"/>
        </w:rPr>
        <w:t>6</w:t>
      </w:r>
      <w:r w:rsidRPr="00A77055">
        <w:rPr>
          <w:spacing w:val="3"/>
          <w:sz w:val="20"/>
          <w:szCs w:val="20"/>
        </w:rPr>
        <w:t xml:space="preserve"> </w:t>
      </w:r>
      <w:r w:rsidRPr="00A77055">
        <w:rPr>
          <w:rFonts w:ascii="Symbol" w:hAnsi="Symbol"/>
          <w:sz w:val="20"/>
          <w:szCs w:val="20"/>
        </w:rPr>
        <w:t></w:t>
      </w:r>
      <w:r w:rsidRPr="00A77055">
        <w:rPr>
          <w:sz w:val="20"/>
          <w:szCs w:val="20"/>
        </w:rPr>
        <w:t>g</w:t>
      </w:r>
      <w:r w:rsidRPr="00A77055">
        <w:rPr>
          <w:spacing w:val="-2"/>
          <w:sz w:val="20"/>
          <w:szCs w:val="20"/>
        </w:rPr>
        <w:t xml:space="preserve"> </w:t>
      </w:r>
      <w:r w:rsidRPr="00A77055">
        <w:rPr>
          <w:sz w:val="20"/>
          <w:szCs w:val="20"/>
        </w:rPr>
        <w:t>=</w:t>
      </w:r>
      <w:r w:rsidRPr="00A77055">
        <w:rPr>
          <w:spacing w:val="1"/>
          <w:sz w:val="20"/>
          <w:szCs w:val="20"/>
        </w:rPr>
        <w:t xml:space="preserve"> </w:t>
      </w:r>
      <w:r w:rsidRPr="00A77055">
        <w:rPr>
          <w:sz w:val="20"/>
          <w:szCs w:val="20"/>
        </w:rPr>
        <w:t>10</w:t>
      </w:r>
      <w:r w:rsidRPr="00A77055">
        <w:rPr>
          <w:sz w:val="20"/>
          <w:szCs w:val="20"/>
          <w:vertAlign w:val="superscript"/>
        </w:rPr>
        <w:t>9</w:t>
      </w:r>
      <w:r w:rsidRPr="00A77055">
        <w:rPr>
          <w:spacing w:val="2"/>
          <w:sz w:val="20"/>
          <w:szCs w:val="20"/>
        </w:rPr>
        <w:t xml:space="preserve"> </w:t>
      </w:r>
      <w:r w:rsidRPr="00A77055">
        <w:rPr>
          <w:sz w:val="20"/>
          <w:szCs w:val="20"/>
        </w:rPr>
        <w:t>ng</w:t>
      </w:r>
      <w:r w:rsidRPr="00A77055">
        <w:rPr>
          <w:spacing w:val="-3"/>
          <w:sz w:val="20"/>
          <w:szCs w:val="20"/>
        </w:rPr>
        <w:t xml:space="preserve"> </w:t>
      </w:r>
      <w:r w:rsidRPr="00A77055">
        <w:rPr>
          <w:sz w:val="20"/>
          <w:szCs w:val="20"/>
        </w:rPr>
        <w:t>=</w:t>
      </w:r>
      <w:r w:rsidRPr="00A77055">
        <w:rPr>
          <w:spacing w:val="-1"/>
          <w:sz w:val="20"/>
          <w:szCs w:val="20"/>
        </w:rPr>
        <w:t xml:space="preserve"> </w:t>
      </w:r>
      <w:r w:rsidRPr="00A77055">
        <w:rPr>
          <w:sz w:val="20"/>
          <w:szCs w:val="20"/>
        </w:rPr>
        <w:t>10</w:t>
      </w:r>
      <w:r w:rsidRPr="00A77055">
        <w:rPr>
          <w:sz w:val="20"/>
          <w:szCs w:val="20"/>
          <w:vertAlign w:val="superscript"/>
        </w:rPr>
        <w:t>12</w:t>
      </w:r>
      <w:r w:rsidRPr="00A77055">
        <w:rPr>
          <w:spacing w:val="2"/>
          <w:sz w:val="20"/>
          <w:szCs w:val="20"/>
        </w:rPr>
        <w:t xml:space="preserve"> </w:t>
      </w:r>
      <w:r w:rsidRPr="00A77055">
        <w:rPr>
          <w:sz w:val="20"/>
          <w:szCs w:val="20"/>
        </w:rPr>
        <w:t>pg</w:t>
      </w:r>
      <w:r w:rsidRPr="00A77055">
        <w:rPr>
          <w:spacing w:val="-3"/>
          <w:sz w:val="20"/>
          <w:szCs w:val="20"/>
        </w:rPr>
        <w:t xml:space="preserve"> </w:t>
      </w:r>
      <w:r w:rsidRPr="00A77055">
        <w:rPr>
          <w:sz w:val="20"/>
          <w:szCs w:val="20"/>
        </w:rPr>
        <w:t>= 10</w:t>
      </w:r>
      <w:r w:rsidRPr="00A77055">
        <w:rPr>
          <w:sz w:val="20"/>
          <w:szCs w:val="20"/>
          <w:vertAlign w:val="superscript"/>
        </w:rPr>
        <w:t>15</w:t>
      </w:r>
      <w:r w:rsidRPr="00A77055">
        <w:rPr>
          <w:spacing w:val="1"/>
          <w:sz w:val="20"/>
          <w:szCs w:val="20"/>
        </w:rPr>
        <w:t xml:space="preserve"> </w:t>
      </w:r>
      <w:r w:rsidRPr="00A77055">
        <w:rPr>
          <w:spacing w:val="-5"/>
          <w:sz w:val="20"/>
          <w:szCs w:val="20"/>
        </w:rPr>
        <w:t>fg</w:t>
      </w:r>
    </w:p>
    <w:p w14:paraId="444FF1D4" w14:textId="77777777" w:rsidR="00A77055" w:rsidRPr="00A77055" w:rsidRDefault="00A77055" w:rsidP="00A77055">
      <w:pPr>
        <w:pStyle w:val="GvdeMetni"/>
        <w:ind w:left="424"/>
        <w:rPr>
          <w:sz w:val="20"/>
          <w:szCs w:val="20"/>
        </w:rPr>
      </w:pPr>
      <w:r w:rsidRPr="00A77055">
        <w:rPr>
          <w:sz w:val="20"/>
          <w:szCs w:val="20"/>
        </w:rPr>
        <w:t>1 mg</w:t>
      </w:r>
      <w:r w:rsidRPr="00A77055">
        <w:rPr>
          <w:spacing w:val="-2"/>
          <w:sz w:val="20"/>
          <w:szCs w:val="20"/>
        </w:rPr>
        <w:t xml:space="preserve"> </w:t>
      </w:r>
      <w:r w:rsidRPr="00A77055">
        <w:rPr>
          <w:sz w:val="20"/>
          <w:szCs w:val="20"/>
        </w:rPr>
        <w:t>=</w:t>
      </w:r>
      <w:r w:rsidRPr="00A77055">
        <w:rPr>
          <w:spacing w:val="-1"/>
          <w:sz w:val="20"/>
          <w:szCs w:val="20"/>
        </w:rPr>
        <w:t xml:space="preserve"> </w:t>
      </w:r>
      <w:r w:rsidRPr="00A77055">
        <w:rPr>
          <w:sz w:val="20"/>
          <w:szCs w:val="20"/>
        </w:rPr>
        <w:t>10</w:t>
      </w:r>
      <w:r w:rsidRPr="00A77055">
        <w:rPr>
          <w:sz w:val="20"/>
          <w:szCs w:val="20"/>
          <w:vertAlign w:val="superscript"/>
        </w:rPr>
        <w:t>3</w:t>
      </w:r>
      <w:r w:rsidRPr="00A77055">
        <w:rPr>
          <w:spacing w:val="3"/>
          <w:sz w:val="20"/>
          <w:szCs w:val="20"/>
        </w:rPr>
        <w:t xml:space="preserve"> </w:t>
      </w:r>
      <w:r w:rsidRPr="00A77055">
        <w:rPr>
          <w:rFonts w:ascii="Symbol" w:hAnsi="Symbol"/>
          <w:sz w:val="20"/>
          <w:szCs w:val="20"/>
        </w:rPr>
        <w:t></w:t>
      </w:r>
      <w:r w:rsidRPr="00A77055">
        <w:rPr>
          <w:sz w:val="20"/>
          <w:szCs w:val="20"/>
        </w:rPr>
        <w:t>g</w:t>
      </w:r>
      <w:r w:rsidRPr="00A77055">
        <w:rPr>
          <w:spacing w:val="-1"/>
          <w:sz w:val="20"/>
          <w:szCs w:val="20"/>
        </w:rPr>
        <w:t xml:space="preserve"> </w:t>
      </w:r>
      <w:r w:rsidRPr="00A77055">
        <w:rPr>
          <w:sz w:val="20"/>
          <w:szCs w:val="20"/>
        </w:rPr>
        <w:t>=</w:t>
      </w:r>
      <w:r w:rsidRPr="00A77055">
        <w:rPr>
          <w:spacing w:val="-1"/>
          <w:sz w:val="20"/>
          <w:szCs w:val="20"/>
        </w:rPr>
        <w:t xml:space="preserve"> </w:t>
      </w:r>
      <w:r w:rsidRPr="00A77055">
        <w:rPr>
          <w:sz w:val="20"/>
          <w:szCs w:val="20"/>
        </w:rPr>
        <w:t>10</w:t>
      </w:r>
      <w:r w:rsidRPr="00A77055">
        <w:rPr>
          <w:sz w:val="20"/>
          <w:szCs w:val="20"/>
          <w:vertAlign w:val="superscript"/>
        </w:rPr>
        <w:t>6</w:t>
      </w:r>
      <w:r w:rsidRPr="00A77055">
        <w:rPr>
          <w:spacing w:val="2"/>
          <w:sz w:val="20"/>
          <w:szCs w:val="20"/>
        </w:rPr>
        <w:t xml:space="preserve"> </w:t>
      </w:r>
      <w:r w:rsidRPr="00A77055">
        <w:rPr>
          <w:sz w:val="20"/>
          <w:szCs w:val="20"/>
        </w:rPr>
        <w:t>ng</w:t>
      </w:r>
      <w:r w:rsidRPr="00A77055">
        <w:rPr>
          <w:spacing w:val="-3"/>
          <w:sz w:val="20"/>
          <w:szCs w:val="20"/>
        </w:rPr>
        <w:t xml:space="preserve"> </w:t>
      </w:r>
      <w:r w:rsidRPr="00A77055">
        <w:rPr>
          <w:sz w:val="20"/>
          <w:szCs w:val="20"/>
        </w:rPr>
        <w:t>=</w:t>
      </w:r>
      <w:r w:rsidRPr="00A77055">
        <w:rPr>
          <w:spacing w:val="1"/>
          <w:sz w:val="20"/>
          <w:szCs w:val="20"/>
        </w:rPr>
        <w:t xml:space="preserve"> </w:t>
      </w:r>
      <w:r w:rsidRPr="00A77055">
        <w:rPr>
          <w:sz w:val="20"/>
          <w:szCs w:val="20"/>
        </w:rPr>
        <w:t>10</w:t>
      </w:r>
      <w:r w:rsidRPr="00A77055">
        <w:rPr>
          <w:sz w:val="20"/>
          <w:szCs w:val="20"/>
          <w:vertAlign w:val="superscript"/>
        </w:rPr>
        <w:t>9</w:t>
      </w:r>
      <w:r w:rsidRPr="00A77055">
        <w:rPr>
          <w:spacing w:val="1"/>
          <w:sz w:val="20"/>
          <w:szCs w:val="20"/>
        </w:rPr>
        <w:t xml:space="preserve"> </w:t>
      </w:r>
      <w:r w:rsidRPr="00A77055">
        <w:rPr>
          <w:sz w:val="20"/>
          <w:szCs w:val="20"/>
        </w:rPr>
        <w:t>pg</w:t>
      </w:r>
      <w:r w:rsidRPr="00A77055">
        <w:rPr>
          <w:spacing w:val="-3"/>
          <w:sz w:val="20"/>
          <w:szCs w:val="20"/>
        </w:rPr>
        <w:t xml:space="preserve"> </w:t>
      </w:r>
      <w:r w:rsidRPr="00A77055">
        <w:rPr>
          <w:sz w:val="20"/>
          <w:szCs w:val="20"/>
        </w:rPr>
        <w:t>=</w:t>
      </w:r>
      <w:r w:rsidRPr="00A77055">
        <w:rPr>
          <w:spacing w:val="-1"/>
          <w:sz w:val="20"/>
          <w:szCs w:val="20"/>
        </w:rPr>
        <w:t xml:space="preserve"> </w:t>
      </w:r>
      <w:r w:rsidRPr="00A77055">
        <w:rPr>
          <w:sz w:val="20"/>
          <w:szCs w:val="20"/>
        </w:rPr>
        <w:t>10</w:t>
      </w:r>
      <w:r w:rsidRPr="00A77055">
        <w:rPr>
          <w:sz w:val="20"/>
          <w:szCs w:val="20"/>
          <w:vertAlign w:val="superscript"/>
        </w:rPr>
        <w:t>12</w:t>
      </w:r>
      <w:r w:rsidRPr="00A77055">
        <w:rPr>
          <w:spacing w:val="2"/>
          <w:sz w:val="20"/>
          <w:szCs w:val="20"/>
        </w:rPr>
        <w:t xml:space="preserve"> </w:t>
      </w:r>
      <w:r w:rsidRPr="00A77055">
        <w:rPr>
          <w:spacing w:val="-5"/>
          <w:sz w:val="20"/>
          <w:szCs w:val="20"/>
        </w:rPr>
        <w:t>fg</w:t>
      </w:r>
    </w:p>
    <w:p w14:paraId="49FD1932" w14:textId="77777777" w:rsidR="00A77055" w:rsidRPr="00A77055" w:rsidRDefault="00A77055" w:rsidP="00A77055">
      <w:pPr>
        <w:pStyle w:val="GvdeMetni"/>
        <w:ind w:left="424"/>
        <w:rPr>
          <w:sz w:val="20"/>
          <w:szCs w:val="20"/>
        </w:rPr>
      </w:pPr>
      <w:r w:rsidRPr="00A77055">
        <w:rPr>
          <w:sz w:val="20"/>
          <w:szCs w:val="20"/>
        </w:rPr>
        <w:t>1</w:t>
      </w:r>
      <w:r w:rsidRPr="00A77055">
        <w:rPr>
          <w:spacing w:val="2"/>
          <w:sz w:val="20"/>
          <w:szCs w:val="20"/>
        </w:rPr>
        <w:t xml:space="preserve"> </w:t>
      </w:r>
      <w:r w:rsidRPr="00A77055">
        <w:rPr>
          <w:rFonts w:ascii="Symbol" w:hAnsi="Symbol"/>
          <w:sz w:val="20"/>
          <w:szCs w:val="20"/>
        </w:rPr>
        <w:t></w:t>
      </w:r>
      <w:r w:rsidRPr="00A77055">
        <w:rPr>
          <w:sz w:val="20"/>
          <w:szCs w:val="20"/>
        </w:rPr>
        <w:t>g</w:t>
      </w:r>
      <w:r w:rsidRPr="00A77055">
        <w:rPr>
          <w:spacing w:val="-3"/>
          <w:sz w:val="20"/>
          <w:szCs w:val="20"/>
        </w:rPr>
        <w:t xml:space="preserve"> </w:t>
      </w:r>
      <w:r w:rsidRPr="00A77055">
        <w:rPr>
          <w:sz w:val="20"/>
          <w:szCs w:val="20"/>
        </w:rPr>
        <w:t>=</w:t>
      </w:r>
      <w:r w:rsidRPr="00A77055">
        <w:rPr>
          <w:spacing w:val="-1"/>
          <w:sz w:val="20"/>
          <w:szCs w:val="20"/>
        </w:rPr>
        <w:t xml:space="preserve"> </w:t>
      </w:r>
      <w:r w:rsidRPr="00A77055">
        <w:rPr>
          <w:sz w:val="20"/>
          <w:szCs w:val="20"/>
        </w:rPr>
        <w:t>10</w:t>
      </w:r>
      <w:r w:rsidRPr="00A77055">
        <w:rPr>
          <w:sz w:val="20"/>
          <w:szCs w:val="20"/>
          <w:vertAlign w:val="superscript"/>
        </w:rPr>
        <w:t>3</w:t>
      </w:r>
      <w:r w:rsidRPr="00A77055">
        <w:rPr>
          <w:spacing w:val="1"/>
          <w:sz w:val="20"/>
          <w:szCs w:val="20"/>
        </w:rPr>
        <w:t xml:space="preserve"> </w:t>
      </w:r>
      <w:r w:rsidRPr="00A77055">
        <w:rPr>
          <w:sz w:val="20"/>
          <w:szCs w:val="20"/>
        </w:rPr>
        <w:t>ng</w:t>
      </w:r>
      <w:r w:rsidRPr="00A77055">
        <w:rPr>
          <w:spacing w:val="-1"/>
          <w:sz w:val="20"/>
          <w:szCs w:val="20"/>
        </w:rPr>
        <w:t xml:space="preserve"> </w:t>
      </w:r>
      <w:r w:rsidRPr="00A77055">
        <w:rPr>
          <w:sz w:val="20"/>
          <w:szCs w:val="20"/>
        </w:rPr>
        <w:t>=</w:t>
      </w:r>
      <w:r w:rsidRPr="00A77055">
        <w:rPr>
          <w:spacing w:val="-1"/>
          <w:sz w:val="20"/>
          <w:szCs w:val="20"/>
        </w:rPr>
        <w:t xml:space="preserve"> </w:t>
      </w:r>
      <w:r w:rsidRPr="00A77055">
        <w:rPr>
          <w:sz w:val="20"/>
          <w:szCs w:val="20"/>
        </w:rPr>
        <w:t>10</w:t>
      </w:r>
      <w:r w:rsidRPr="00A77055">
        <w:rPr>
          <w:sz w:val="20"/>
          <w:szCs w:val="20"/>
          <w:vertAlign w:val="superscript"/>
        </w:rPr>
        <w:t>6</w:t>
      </w:r>
      <w:r w:rsidRPr="00A77055">
        <w:rPr>
          <w:spacing w:val="1"/>
          <w:sz w:val="20"/>
          <w:szCs w:val="20"/>
        </w:rPr>
        <w:t xml:space="preserve"> </w:t>
      </w:r>
      <w:r w:rsidRPr="00A77055">
        <w:rPr>
          <w:sz w:val="20"/>
          <w:szCs w:val="20"/>
        </w:rPr>
        <w:t>pg</w:t>
      </w:r>
      <w:r w:rsidRPr="00A77055">
        <w:rPr>
          <w:spacing w:val="-1"/>
          <w:sz w:val="20"/>
          <w:szCs w:val="20"/>
        </w:rPr>
        <w:t xml:space="preserve"> </w:t>
      </w:r>
      <w:r w:rsidRPr="00A77055">
        <w:rPr>
          <w:sz w:val="20"/>
          <w:szCs w:val="20"/>
        </w:rPr>
        <w:t>=</w:t>
      </w:r>
      <w:r w:rsidRPr="00A77055">
        <w:rPr>
          <w:spacing w:val="1"/>
          <w:sz w:val="20"/>
          <w:szCs w:val="20"/>
        </w:rPr>
        <w:t xml:space="preserve"> </w:t>
      </w:r>
      <w:r w:rsidRPr="00A77055">
        <w:rPr>
          <w:sz w:val="20"/>
          <w:szCs w:val="20"/>
        </w:rPr>
        <w:t>10</w:t>
      </w:r>
      <w:r w:rsidRPr="00A77055">
        <w:rPr>
          <w:sz w:val="20"/>
          <w:szCs w:val="20"/>
          <w:vertAlign w:val="superscript"/>
        </w:rPr>
        <w:t>9</w:t>
      </w:r>
      <w:r w:rsidRPr="00A77055">
        <w:rPr>
          <w:spacing w:val="1"/>
          <w:sz w:val="20"/>
          <w:szCs w:val="20"/>
        </w:rPr>
        <w:t xml:space="preserve"> </w:t>
      </w:r>
      <w:r w:rsidRPr="00A77055">
        <w:rPr>
          <w:spacing w:val="-5"/>
          <w:sz w:val="20"/>
          <w:szCs w:val="20"/>
        </w:rPr>
        <w:t>fg</w:t>
      </w:r>
    </w:p>
    <w:p w14:paraId="0DBC8270" w14:textId="77777777" w:rsidR="00A77055" w:rsidRPr="00F27C92" w:rsidRDefault="00A77055" w:rsidP="00A77055">
      <w:pPr>
        <w:tabs>
          <w:tab w:val="left" w:pos="1031"/>
        </w:tabs>
        <w:jc w:val="both"/>
        <w:rPr>
          <w:rFonts w:ascii="Times New Roman" w:hAnsi="Times New Roman" w:cs="Times New Roman"/>
        </w:rPr>
      </w:pPr>
    </w:p>
    <w:p w14:paraId="39A2F40A" w14:textId="77777777" w:rsidR="009D207C" w:rsidRPr="009D207C" w:rsidRDefault="009D207C" w:rsidP="009D207C">
      <w:pPr>
        <w:pStyle w:val="GvdeMetni"/>
        <w:rPr>
          <w:b/>
        </w:rPr>
      </w:pPr>
      <w:r w:rsidRPr="009D207C">
        <w:rPr>
          <w:b/>
        </w:rPr>
        <w:t>Absorpsiyon Spektroskopisinin Nicel Analizde Avantajları</w:t>
      </w:r>
    </w:p>
    <w:p w14:paraId="3B78F0A9" w14:textId="77777777" w:rsidR="009D207C" w:rsidRPr="009D207C" w:rsidRDefault="009D207C" w:rsidP="009D207C">
      <w:pPr>
        <w:pStyle w:val="GvdeMetni"/>
        <w:jc w:val="both"/>
        <w:rPr>
          <w:b/>
        </w:rPr>
      </w:pPr>
    </w:p>
    <w:p w14:paraId="29B552BF" w14:textId="77777777" w:rsidR="009D207C" w:rsidRPr="009D207C" w:rsidRDefault="009D207C" w:rsidP="009D207C">
      <w:pPr>
        <w:pStyle w:val="GvdeMetni"/>
        <w:numPr>
          <w:ilvl w:val="0"/>
          <w:numId w:val="6"/>
        </w:numPr>
        <w:jc w:val="both"/>
        <w:rPr>
          <w:bCs/>
        </w:rPr>
      </w:pPr>
      <w:r w:rsidRPr="009D207C">
        <w:rPr>
          <w:bCs/>
        </w:rPr>
        <w:t>Geniş uygulama alanı: UV ve görünür bölgede ışık absorplayan (veya uygun reaksiyonla absorplayan türevlerine dönüştürülebilen) birçok organik ve inorganik maddeye uygulanabilir.</w:t>
      </w:r>
    </w:p>
    <w:p w14:paraId="6852244A" w14:textId="77777777" w:rsidR="009D207C" w:rsidRPr="009D207C" w:rsidRDefault="009D207C" w:rsidP="009D207C">
      <w:pPr>
        <w:pStyle w:val="GvdeMetni"/>
        <w:numPr>
          <w:ilvl w:val="0"/>
          <w:numId w:val="6"/>
        </w:numPr>
        <w:jc w:val="both"/>
        <w:rPr>
          <w:bCs/>
        </w:rPr>
      </w:pPr>
      <w:r w:rsidRPr="009D207C">
        <w:rPr>
          <w:bCs/>
        </w:rPr>
        <w:t>Yüksek duyarlılık: Duyarlılığı yüksek olduğu için geniş bir konsantrasyon aralığında nicel tayin yapılabilir. Çoğu uygulamada 10⁻⁴–10⁻⁵ M düzeyleri ölçülebilir; özel tekniklerle 10⁻⁶–10⁻⁷ M seviyelerine kadar inmek mümkündür.</w:t>
      </w:r>
    </w:p>
    <w:p w14:paraId="6B72C905" w14:textId="77777777" w:rsidR="009D207C" w:rsidRPr="009D207C" w:rsidRDefault="009D207C" w:rsidP="009D207C">
      <w:pPr>
        <w:pStyle w:val="GvdeMetni"/>
        <w:numPr>
          <w:ilvl w:val="0"/>
          <w:numId w:val="6"/>
        </w:numPr>
        <w:jc w:val="both"/>
        <w:rPr>
          <w:bCs/>
        </w:rPr>
      </w:pPr>
      <w:r w:rsidRPr="009D207C">
        <w:rPr>
          <w:bCs/>
        </w:rPr>
        <w:t>İyi seçicilik: Karışım içindeki bileşenlerden biri belirli bir dalga boyunda tek başına/bağımsız absorpsiyon veriyorsa, diğerlerinin varlığında da kolayca belirlenebilir. Ayrıca λmax değerleri birbirine yakın iki bileşiğin uygun koşullarda eş zamanlı nicel analizi yapılabilir. Gerekirse analit, absorpsiyon veren bir türeve dönüştürülerek seçicilik artırılabilir.</w:t>
      </w:r>
    </w:p>
    <w:p w14:paraId="0B1CCDA2" w14:textId="77777777" w:rsidR="009D207C" w:rsidRPr="009D207C" w:rsidRDefault="009D207C" w:rsidP="009D207C">
      <w:pPr>
        <w:pStyle w:val="GvdeMetni"/>
        <w:numPr>
          <w:ilvl w:val="0"/>
          <w:numId w:val="6"/>
        </w:numPr>
        <w:jc w:val="both"/>
        <w:rPr>
          <w:bCs/>
        </w:rPr>
      </w:pPr>
      <w:r w:rsidRPr="009D207C">
        <w:rPr>
          <w:bCs/>
        </w:rPr>
        <w:t>Yüksek tekrarlanabilirlik: Ardışık ölçümler çoğunlukla tutarlıdır; tipik olarak hata ±%1–3 absorbans aralığında kalabilir. En iyi sonuçlar genellikle A = 0.3–0.8 aralığında alınır; bu aralığın dışında hata payı artabilir.</w:t>
      </w:r>
    </w:p>
    <w:p w14:paraId="5AB89911" w14:textId="25E0DDCA" w:rsidR="00C930EF" w:rsidRPr="001C4F73" w:rsidRDefault="009D207C" w:rsidP="009D207C">
      <w:pPr>
        <w:pStyle w:val="GvdeMetni"/>
        <w:numPr>
          <w:ilvl w:val="0"/>
          <w:numId w:val="6"/>
        </w:numPr>
        <w:jc w:val="both"/>
        <w:rPr>
          <w:b/>
        </w:rPr>
      </w:pPr>
      <w:r w:rsidRPr="009D207C">
        <w:rPr>
          <w:bCs/>
        </w:rPr>
        <w:t>Kolay ve hızlı uygulanabilirlik: Uygulaması pratik olup kısa sürede ölçüm yapmaya imkân verir ve rutin analizlerde zaman kazandır</w:t>
      </w:r>
      <w:r w:rsidR="001C4F73">
        <w:rPr>
          <w:bCs/>
        </w:rPr>
        <w:t>.</w:t>
      </w:r>
    </w:p>
    <w:p w14:paraId="7E75C4E9" w14:textId="77777777" w:rsidR="001C4F73" w:rsidRDefault="001C4F73" w:rsidP="001C4F73">
      <w:pPr>
        <w:pStyle w:val="GvdeMetni"/>
        <w:jc w:val="both"/>
        <w:rPr>
          <w:b/>
        </w:rPr>
      </w:pPr>
    </w:p>
    <w:p w14:paraId="248CAAE0" w14:textId="77777777" w:rsidR="00CF2588" w:rsidRDefault="00CF2588" w:rsidP="001C4F73">
      <w:pPr>
        <w:pStyle w:val="GvdeMetni"/>
        <w:jc w:val="both"/>
        <w:rPr>
          <w:b/>
        </w:rPr>
      </w:pPr>
    </w:p>
    <w:p w14:paraId="3BFEDFBF" w14:textId="77777777" w:rsidR="00CF2588" w:rsidRDefault="00CF2588" w:rsidP="001C4F73">
      <w:pPr>
        <w:pStyle w:val="GvdeMetni"/>
        <w:jc w:val="both"/>
        <w:rPr>
          <w:b/>
        </w:rPr>
      </w:pPr>
    </w:p>
    <w:p w14:paraId="4CC2F178" w14:textId="77777777" w:rsidR="00395408" w:rsidRDefault="00395408" w:rsidP="001C4F73">
      <w:pPr>
        <w:pStyle w:val="GvdeMetni"/>
        <w:jc w:val="both"/>
        <w:rPr>
          <w:b/>
        </w:rPr>
      </w:pPr>
    </w:p>
    <w:p w14:paraId="0A218008" w14:textId="77777777" w:rsidR="00395408" w:rsidRDefault="00395408" w:rsidP="001C4F73">
      <w:pPr>
        <w:pStyle w:val="GvdeMetni"/>
        <w:jc w:val="both"/>
        <w:rPr>
          <w:b/>
        </w:rPr>
      </w:pPr>
    </w:p>
    <w:p w14:paraId="31587569" w14:textId="77777777" w:rsidR="00395408" w:rsidRDefault="00395408" w:rsidP="001C4F73">
      <w:pPr>
        <w:pStyle w:val="GvdeMetni"/>
        <w:jc w:val="both"/>
        <w:rPr>
          <w:b/>
        </w:rPr>
      </w:pPr>
    </w:p>
    <w:p w14:paraId="07AD7412" w14:textId="77777777" w:rsidR="00395408" w:rsidRDefault="00395408" w:rsidP="001C4F73">
      <w:pPr>
        <w:pStyle w:val="GvdeMetni"/>
        <w:jc w:val="both"/>
        <w:rPr>
          <w:b/>
        </w:rPr>
      </w:pPr>
    </w:p>
    <w:p w14:paraId="5C2FFB05" w14:textId="77777777" w:rsidR="00395408" w:rsidRDefault="00395408" w:rsidP="001C4F73">
      <w:pPr>
        <w:pStyle w:val="GvdeMetni"/>
        <w:jc w:val="both"/>
        <w:rPr>
          <w:b/>
        </w:rPr>
      </w:pPr>
    </w:p>
    <w:p w14:paraId="067CEA12" w14:textId="77777777" w:rsidR="00395408" w:rsidRDefault="00395408" w:rsidP="001C4F73">
      <w:pPr>
        <w:pStyle w:val="GvdeMetni"/>
        <w:jc w:val="both"/>
        <w:rPr>
          <w:b/>
        </w:rPr>
      </w:pPr>
    </w:p>
    <w:p w14:paraId="1E5D419D" w14:textId="77777777" w:rsidR="00395408" w:rsidRDefault="00395408" w:rsidP="001C4F73">
      <w:pPr>
        <w:pStyle w:val="GvdeMetni"/>
        <w:jc w:val="both"/>
        <w:rPr>
          <w:b/>
        </w:rPr>
      </w:pPr>
    </w:p>
    <w:p w14:paraId="07375879" w14:textId="77777777" w:rsidR="00395408" w:rsidRDefault="00395408" w:rsidP="001C4F73">
      <w:pPr>
        <w:pStyle w:val="GvdeMetni"/>
        <w:jc w:val="both"/>
        <w:rPr>
          <w:b/>
        </w:rPr>
      </w:pPr>
    </w:p>
    <w:p w14:paraId="390FD957" w14:textId="77777777" w:rsidR="00395408" w:rsidRDefault="00395408" w:rsidP="001C4F73">
      <w:pPr>
        <w:pStyle w:val="GvdeMetni"/>
        <w:jc w:val="both"/>
        <w:rPr>
          <w:b/>
        </w:rPr>
      </w:pPr>
    </w:p>
    <w:p w14:paraId="30EF5555" w14:textId="77777777" w:rsidR="00395408" w:rsidRDefault="00395408" w:rsidP="001C4F73">
      <w:pPr>
        <w:pStyle w:val="GvdeMetni"/>
        <w:jc w:val="both"/>
        <w:rPr>
          <w:b/>
        </w:rPr>
      </w:pPr>
    </w:p>
    <w:p w14:paraId="454F02F3" w14:textId="77777777" w:rsidR="00395408" w:rsidRDefault="00395408" w:rsidP="001C4F73">
      <w:pPr>
        <w:pStyle w:val="GvdeMetni"/>
        <w:jc w:val="both"/>
        <w:rPr>
          <w:b/>
        </w:rPr>
      </w:pPr>
    </w:p>
    <w:p w14:paraId="19DE8C9B" w14:textId="77777777" w:rsidR="00CF2588" w:rsidRDefault="00CF2588" w:rsidP="001C4F73">
      <w:pPr>
        <w:pStyle w:val="GvdeMetni"/>
        <w:jc w:val="both"/>
        <w:rPr>
          <w:b/>
        </w:rPr>
      </w:pPr>
    </w:p>
    <w:p w14:paraId="621880AA" w14:textId="77777777" w:rsidR="00CF2588" w:rsidRDefault="00CF2588" w:rsidP="001C4F73">
      <w:pPr>
        <w:pStyle w:val="GvdeMetni"/>
        <w:jc w:val="both"/>
        <w:rPr>
          <w:b/>
        </w:rPr>
      </w:pPr>
    </w:p>
    <w:p w14:paraId="2F1CE861" w14:textId="77777777" w:rsidR="003B534D" w:rsidRDefault="003B534D" w:rsidP="001C4F73">
      <w:pPr>
        <w:pStyle w:val="GvdeMetni"/>
        <w:jc w:val="both"/>
        <w:rPr>
          <w:b/>
        </w:rPr>
      </w:pPr>
    </w:p>
    <w:p w14:paraId="6DE63B85" w14:textId="77777777" w:rsidR="003B534D" w:rsidRDefault="003B534D" w:rsidP="001C4F73">
      <w:pPr>
        <w:pStyle w:val="GvdeMetni"/>
        <w:jc w:val="both"/>
        <w:rPr>
          <w:b/>
        </w:rPr>
      </w:pPr>
    </w:p>
    <w:p w14:paraId="1D15B5BD" w14:textId="77777777" w:rsidR="003B534D" w:rsidRDefault="003B534D" w:rsidP="001C4F73">
      <w:pPr>
        <w:pStyle w:val="GvdeMetni"/>
        <w:jc w:val="both"/>
        <w:rPr>
          <w:b/>
        </w:rPr>
      </w:pPr>
    </w:p>
    <w:p w14:paraId="606C2933" w14:textId="77777777" w:rsidR="004215CE" w:rsidRPr="004215CE" w:rsidRDefault="004215CE" w:rsidP="004215CE">
      <w:pPr>
        <w:pStyle w:val="GvdeMetni"/>
        <w:jc w:val="both"/>
        <w:rPr>
          <w:b/>
        </w:rPr>
      </w:pPr>
      <w:r w:rsidRPr="004215CE">
        <w:rPr>
          <w:b/>
        </w:rPr>
        <w:lastRenderedPageBreak/>
        <w:t>Biyolojik Sıvılarda Salisilatın Nicel Analizi</w:t>
      </w:r>
    </w:p>
    <w:p w14:paraId="30757AD0" w14:textId="77777777" w:rsidR="004215CE" w:rsidRPr="004215CE" w:rsidRDefault="004215CE" w:rsidP="004215CE">
      <w:pPr>
        <w:pStyle w:val="GvdeMetni"/>
        <w:jc w:val="both"/>
        <w:rPr>
          <w:b/>
        </w:rPr>
      </w:pPr>
    </w:p>
    <w:p w14:paraId="25F53A55" w14:textId="77777777" w:rsidR="004215CE" w:rsidRPr="004215CE" w:rsidRDefault="004215CE" w:rsidP="004215CE">
      <w:pPr>
        <w:pStyle w:val="GvdeMetni"/>
        <w:jc w:val="both"/>
        <w:rPr>
          <w:bCs/>
        </w:rPr>
      </w:pPr>
      <w:r w:rsidRPr="004215CE">
        <w:rPr>
          <w:bCs/>
        </w:rPr>
        <w:t>Aspirin (asetilsalisilik asit); ağrı, ateş ve inflamasyon durumlarında sık kullanılan NSAİİ grubu bir analjeziktir. Ağızdan alındıktan sonra, kan ve karaciğerde bulunan esterazlar aracılığıyla büyük ölçüde salisilik aside (aktif metabolit) dönüşür. Vücuttan başlıca böbreklerle, salisilik asit ve konjugatları şeklinde atılır. Yüksek doz alımlarda konjugasyon yolları doygunluğa ulaştığından, idrarda serbest salisilik asit atılımı artar.</w:t>
      </w:r>
    </w:p>
    <w:p w14:paraId="5B1DBA2B" w14:textId="77777777" w:rsidR="004215CE" w:rsidRPr="004215CE" w:rsidRDefault="004215CE" w:rsidP="004215CE">
      <w:pPr>
        <w:pStyle w:val="GvdeMetni"/>
        <w:jc w:val="both"/>
        <w:rPr>
          <w:bCs/>
        </w:rPr>
      </w:pPr>
      <w:r w:rsidRPr="004215CE">
        <w:rPr>
          <w:bCs/>
        </w:rPr>
        <w:t>Terapötik dozlarda aspirinin yarı ömrü yaklaşık 2–4,5 saat iken; yüksek doz alımlarda eliminasyon 0. derece kinetiğe yaklaşabilir ve yarı ömür belirgin şekilde uzar. Örneğin 4 g’dan yüksek alımlarda yarı ömür yaklaşık 18–32 saat aralığına çıkabilir. Aspirinin günlük terapötik dozu erişkinlerde yaklaşık 4 g/gün, çocuklarda yaklaşık 2,5 g/gün düzeyindedir.</w:t>
      </w:r>
    </w:p>
    <w:p w14:paraId="1064AF9F" w14:textId="77777777" w:rsidR="004215CE" w:rsidRPr="00692636" w:rsidRDefault="004215CE" w:rsidP="004215CE">
      <w:pPr>
        <w:pStyle w:val="GvdeMetni"/>
        <w:jc w:val="both"/>
        <w:rPr>
          <w:b/>
        </w:rPr>
      </w:pPr>
      <w:r w:rsidRPr="00692636">
        <w:rPr>
          <w:b/>
        </w:rPr>
        <w:t>Toksisite</w:t>
      </w:r>
    </w:p>
    <w:p w14:paraId="6ED6E7B0" w14:textId="28DC0560" w:rsidR="00CF2588" w:rsidRDefault="004215CE" w:rsidP="004215CE">
      <w:pPr>
        <w:pStyle w:val="GvdeMetni"/>
        <w:jc w:val="both"/>
        <w:rPr>
          <w:bCs/>
        </w:rPr>
      </w:pPr>
      <w:r w:rsidRPr="004215CE">
        <w:rPr>
          <w:bCs/>
        </w:rPr>
        <w:t>Yüksek miktarda oral alım; SSS ve GİS toksisitesine, ağır olgularda ensefalopati ve böbrek yetmezliğine yol açabilir. Aspirin için minimum letal dozun yaklaşık 15 g olduğu bildirilmiştir. Zehirlenme şiddeti; alınan doz, kan düzeyi ve klinik bulgularla birlikte değerlendirilir.</w:t>
      </w:r>
    </w:p>
    <w:p w14:paraId="27EBA03B" w14:textId="77777777" w:rsidR="00692636" w:rsidRDefault="00692636" w:rsidP="004215CE">
      <w:pPr>
        <w:pStyle w:val="GvdeMetni"/>
        <w:jc w:val="both"/>
        <w:rPr>
          <w:bCs/>
        </w:rPr>
      </w:pPr>
    </w:p>
    <w:tbl>
      <w:tblPr>
        <w:tblW w:w="8612" w:type="dxa"/>
        <w:tblCellSpacing w:w="15" w:type="dxa"/>
        <w:tblCellMar>
          <w:top w:w="15" w:type="dxa"/>
          <w:left w:w="15" w:type="dxa"/>
          <w:bottom w:w="15" w:type="dxa"/>
          <w:right w:w="15" w:type="dxa"/>
        </w:tblCellMar>
        <w:tblLook w:val="04A0" w:firstRow="1" w:lastRow="0" w:firstColumn="1" w:lastColumn="0" w:noHBand="0" w:noVBand="1"/>
      </w:tblPr>
      <w:tblGrid>
        <w:gridCol w:w="1699"/>
        <w:gridCol w:w="3961"/>
        <w:gridCol w:w="2952"/>
      </w:tblGrid>
      <w:tr w:rsidR="00692636" w:rsidRPr="00692636" w14:paraId="6656A709" w14:textId="77777777" w:rsidTr="00437187">
        <w:trPr>
          <w:trHeight w:val="251"/>
          <w:tblHeader/>
          <w:tblCellSpacing w:w="15" w:type="dxa"/>
        </w:trPr>
        <w:tc>
          <w:tcPr>
            <w:tcW w:w="0" w:type="auto"/>
            <w:vAlign w:val="center"/>
            <w:hideMark/>
          </w:tcPr>
          <w:p w14:paraId="2133200F" w14:textId="77777777" w:rsidR="00692636" w:rsidRPr="00692636" w:rsidRDefault="00692636" w:rsidP="00692636">
            <w:pPr>
              <w:pStyle w:val="GvdeMetni"/>
              <w:jc w:val="both"/>
              <w:rPr>
                <w:b/>
                <w:bCs/>
                <w:sz w:val="22"/>
                <w:szCs w:val="22"/>
              </w:rPr>
            </w:pPr>
            <w:r w:rsidRPr="00692636">
              <w:rPr>
                <w:b/>
                <w:bCs/>
                <w:sz w:val="22"/>
                <w:szCs w:val="22"/>
              </w:rPr>
              <w:t>Doz (mg/kg)</w:t>
            </w:r>
          </w:p>
        </w:tc>
        <w:tc>
          <w:tcPr>
            <w:tcW w:w="0" w:type="auto"/>
            <w:vAlign w:val="center"/>
            <w:hideMark/>
          </w:tcPr>
          <w:p w14:paraId="416197DF" w14:textId="77777777" w:rsidR="00692636" w:rsidRPr="00692636" w:rsidRDefault="00692636" w:rsidP="00692636">
            <w:pPr>
              <w:pStyle w:val="GvdeMetni"/>
              <w:jc w:val="both"/>
              <w:rPr>
                <w:b/>
                <w:bCs/>
                <w:sz w:val="22"/>
                <w:szCs w:val="22"/>
              </w:rPr>
            </w:pPr>
            <w:r w:rsidRPr="00692636">
              <w:rPr>
                <w:b/>
                <w:bCs/>
                <w:sz w:val="22"/>
                <w:szCs w:val="22"/>
              </w:rPr>
              <w:t>Kan konsantrasyonu (mg/dL)</w:t>
            </w:r>
          </w:p>
        </w:tc>
        <w:tc>
          <w:tcPr>
            <w:tcW w:w="0" w:type="auto"/>
            <w:vAlign w:val="center"/>
            <w:hideMark/>
          </w:tcPr>
          <w:p w14:paraId="580C2E3C" w14:textId="77777777" w:rsidR="00692636" w:rsidRPr="00692636" w:rsidRDefault="00692636" w:rsidP="00692636">
            <w:pPr>
              <w:pStyle w:val="GvdeMetni"/>
              <w:jc w:val="both"/>
              <w:rPr>
                <w:b/>
                <w:bCs/>
                <w:sz w:val="22"/>
                <w:szCs w:val="22"/>
              </w:rPr>
            </w:pPr>
            <w:r w:rsidRPr="00692636">
              <w:rPr>
                <w:b/>
                <w:bCs/>
                <w:sz w:val="22"/>
                <w:szCs w:val="22"/>
              </w:rPr>
              <w:t>Toksisite derecesi</w:t>
            </w:r>
          </w:p>
        </w:tc>
      </w:tr>
      <w:tr w:rsidR="00692636" w:rsidRPr="00692636" w14:paraId="14D7B7F1" w14:textId="77777777" w:rsidTr="00437187">
        <w:trPr>
          <w:trHeight w:val="251"/>
          <w:tblCellSpacing w:w="15" w:type="dxa"/>
        </w:trPr>
        <w:tc>
          <w:tcPr>
            <w:tcW w:w="0" w:type="auto"/>
            <w:vAlign w:val="center"/>
            <w:hideMark/>
          </w:tcPr>
          <w:p w14:paraId="2552EC0C" w14:textId="77777777" w:rsidR="00692636" w:rsidRPr="00692636" w:rsidRDefault="00692636" w:rsidP="00692636">
            <w:pPr>
              <w:pStyle w:val="GvdeMetni"/>
              <w:jc w:val="both"/>
              <w:rPr>
                <w:sz w:val="22"/>
                <w:szCs w:val="22"/>
              </w:rPr>
            </w:pPr>
            <w:r w:rsidRPr="00692636">
              <w:rPr>
                <w:sz w:val="22"/>
                <w:szCs w:val="22"/>
              </w:rPr>
              <w:t>&lt;150</w:t>
            </w:r>
          </w:p>
        </w:tc>
        <w:tc>
          <w:tcPr>
            <w:tcW w:w="0" w:type="auto"/>
            <w:vAlign w:val="center"/>
            <w:hideMark/>
          </w:tcPr>
          <w:p w14:paraId="793651C9" w14:textId="77777777" w:rsidR="00692636" w:rsidRPr="00692636" w:rsidRDefault="00692636" w:rsidP="00692636">
            <w:pPr>
              <w:pStyle w:val="GvdeMetni"/>
              <w:jc w:val="both"/>
              <w:rPr>
                <w:sz w:val="22"/>
                <w:szCs w:val="22"/>
              </w:rPr>
            </w:pPr>
            <w:r w:rsidRPr="00692636">
              <w:rPr>
                <w:sz w:val="22"/>
                <w:szCs w:val="22"/>
              </w:rPr>
              <w:t>45–65</w:t>
            </w:r>
          </w:p>
        </w:tc>
        <w:tc>
          <w:tcPr>
            <w:tcW w:w="0" w:type="auto"/>
            <w:vAlign w:val="center"/>
            <w:hideMark/>
          </w:tcPr>
          <w:p w14:paraId="33EC8C86" w14:textId="77777777" w:rsidR="00692636" w:rsidRPr="00692636" w:rsidRDefault="00692636" w:rsidP="00692636">
            <w:pPr>
              <w:pStyle w:val="GvdeMetni"/>
              <w:jc w:val="both"/>
              <w:rPr>
                <w:sz w:val="22"/>
                <w:szCs w:val="22"/>
              </w:rPr>
            </w:pPr>
            <w:r w:rsidRPr="00692636">
              <w:rPr>
                <w:sz w:val="22"/>
                <w:szCs w:val="22"/>
              </w:rPr>
              <w:t>Hafif*</w:t>
            </w:r>
          </w:p>
        </w:tc>
      </w:tr>
      <w:tr w:rsidR="00692636" w:rsidRPr="00692636" w14:paraId="164B84C6" w14:textId="77777777" w:rsidTr="00437187">
        <w:trPr>
          <w:trHeight w:val="251"/>
          <w:tblCellSpacing w:w="15" w:type="dxa"/>
        </w:trPr>
        <w:tc>
          <w:tcPr>
            <w:tcW w:w="0" w:type="auto"/>
            <w:vAlign w:val="center"/>
            <w:hideMark/>
          </w:tcPr>
          <w:p w14:paraId="32B84210" w14:textId="77777777" w:rsidR="00692636" w:rsidRPr="00692636" w:rsidRDefault="00692636" w:rsidP="00692636">
            <w:pPr>
              <w:pStyle w:val="GvdeMetni"/>
              <w:jc w:val="both"/>
              <w:rPr>
                <w:sz w:val="22"/>
                <w:szCs w:val="22"/>
              </w:rPr>
            </w:pPr>
            <w:r w:rsidRPr="00692636">
              <w:rPr>
                <w:sz w:val="22"/>
                <w:szCs w:val="22"/>
              </w:rPr>
              <w:t>150–300</w:t>
            </w:r>
          </w:p>
        </w:tc>
        <w:tc>
          <w:tcPr>
            <w:tcW w:w="0" w:type="auto"/>
            <w:vAlign w:val="center"/>
            <w:hideMark/>
          </w:tcPr>
          <w:p w14:paraId="61CB2B6A" w14:textId="77777777" w:rsidR="00692636" w:rsidRPr="00692636" w:rsidRDefault="00692636" w:rsidP="00692636">
            <w:pPr>
              <w:pStyle w:val="GvdeMetni"/>
              <w:jc w:val="both"/>
              <w:rPr>
                <w:sz w:val="22"/>
                <w:szCs w:val="22"/>
              </w:rPr>
            </w:pPr>
            <w:r w:rsidRPr="00692636">
              <w:rPr>
                <w:sz w:val="22"/>
                <w:szCs w:val="22"/>
              </w:rPr>
              <w:t>66–90</w:t>
            </w:r>
          </w:p>
        </w:tc>
        <w:tc>
          <w:tcPr>
            <w:tcW w:w="0" w:type="auto"/>
            <w:vAlign w:val="center"/>
            <w:hideMark/>
          </w:tcPr>
          <w:p w14:paraId="4A4D65E9" w14:textId="77777777" w:rsidR="00692636" w:rsidRPr="00692636" w:rsidRDefault="00692636" w:rsidP="00692636">
            <w:pPr>
              <w:pStyle w:val="GvdeMetni"/>
              <w:jc w:val="both"/>
              <w:rPr>
                <w:sz w:val="22"/>
                <w:szCs w:val="22"/>
              </w:rPr>
            </w:pPr>
            <w:r w:rsidRPr="00692636">
              <w:rPr>
                <w:sz w:val="22"/>
                <w:szCs w:val="22"/>
              </w:rPr>
              <w:t>Orta</w:t>
            </w:r>
          </w:p>
        </w:tc>
      </w:tr>
      <w:tr w:rsidR="00692636" w:rsidRPr="00692636" w14:paraId="05DFBC36" w14:textId="77777777" w:rsidTr="00437187">
        <w:trPr>
          <w:trHeight w:val="244"/>
          <w:tblCellSpacing w:w="15" w:type="dxa"/>
        </w:trPr>
        <w:tc>
          <w:tcPr>
            <w:tcW w:w="0" w:type="auto"/>
            <w:vAlign w:val="center"/>
            <w:hideMark/>
          </w:tcPr>
          <w:p w14:paraId="6A314D56" w14:textId="77777777" w:rsidR="00692636" w:rsidRPr="00692636" w:rsidRDefault="00692636" w:rsidP="00692636">
            <w:pPr>
              <w:pStyle w:val="GvdeMetni"/>
              <w:jc w:val="both"/>
              <w:rPr>
                <w:sz w:val="22"/>
                <w:szCs w:val="22"/>
              </w:rPr>
            </w:pPr>
            <w:r w:rsidRPr="00692636">
              <w:rPr>
                <w:sz w:val="22"/>
                <w:szCs w:val="22"/>
              </w:rPr>
              <w:t>300–500</w:t>
            </w:r>
          </w:p>
        </w:tc>
        <w:tc>
          <w:tcPr>
            <w:tcW w:w="0" w:type="auto"/>
            <w:vAlign w:val="center"/>
            <w:hideMark/>
          </w:tcPr>
          <w:p w14:paraId="0070B8EF" w14:textId="77777777" w:rsidR="00692636" w:rsidRPr="00692636" w:rsidRDefault="00692636" w:rsidP="00692636">
            <w:pPr>
              <w:pStyle w:val="GvdeMetni"/>
              <w:jc w:val="both"/>
              <w:rPr>
                <w:sz w:val="22"/>
                <w:szCs w:val="22"/>
              </w:rPr>
            </w:pPr>
            <w:r w:rsidRPr="00692636">
              <w:rPr>
                <w:sz w:val="22"/>
                <w:szCs w:val="22"/>
              </w:rPr>
              <w:t>91–120</w:t>
            </w:r>
          </w:p>
        </w:tc>
        <w:tc>
          <w:tcPr>
            <w:tcW w:w="0" w:type="auto"/>
            <w:vAlign w:val="center"/>
            <w:hideMark/>
          </w:tcPr>
          <w:p w14:paraId="7F735062" w14:textId="77777777" w:rsidR="00692636" w:rsidRPr="00692636" w:rsidRDefault="00692636" w:rsidP="00692636">
            <w:pPr>
              <w:pStyle w:val="GvdeMetni"/>
              <w:jc w:val="both"/>
              <w:rPr>
                <w:sz w:val="22"/>
                <w:szCs w:val="22"/>
              </w:rPr>
            </w:pPr>
            <w:r w:rsidRPr="00692636">
              <w:rPr>
                <w:sz w:val="22"/>
                <w:szCs w:val="22"/>
              </w:rPr>
              <w:t>Şiddetli</w:t>
            </w:r>
          </w:p>
        </w:tc>
      </w:tr>
      <w:tr w:rsidR="00692636" w:rsidRPr="00692636" w14:paraId="63F7F598" w14:textId="77777777" w:rsidTr="00437187">
        <w:trPr>
          <w:trHeight w:val="251"/>
          <w:tblCellSpacing w:w="15" w:type="dxa"/>
        </w:trPr>
        <w:tc>
          <w:tcPr>
            <w:tcW w:w="0" w:type="auto"/>
            <w:vAlign w:val="center"/>
            <w:hideMark/>
          </w:tcPr>
          <w:p w14:paraId="73442554" w14:textId="77777777" w:rsidR="00692636" w:rsidRPr="00692636" w:rsidRDefault="00692636" w:rsidP="00692636">
            <w:pPr>
              <w:pStyle w:val="GvdeMetni"/>
              <w:jc w:val="both"/>
              <w:rPr>
                <w:sz w:val="22"/>
                <w:szCs w:val="22"/>
              </w:rPr>
            </w:pPr>
            <w:r w:rsidRPr="00692636">
              <w:rPr>
                <w:sz w:val="22"/>
                <w:szCs w:val="22"/>
              </w:rPr>
              <w:t>&gt;500</w:t>
            </w:r>
          </w:p>
        </w:tc>
        <w:tc>
          <w:tcPr>
            <w:tcW w:w="0" w:type="auto"/>
            <w:vAlign w:val="center"/>
            <w:hideMark/>
          </w:tcPr>
          <w:p w14:paraId="1858ECD2" w14:textId="77777777" w:rsidR="00692636" w:rsidRPr="00692636" w:rsidRDefault="00692636" w:rsidP="00692636">
            <w:pPr>
              <w:pStyle w:val="GvdeMetni"/>
              <w:jc w:val="both"/>
              <w:rPr>
                <w:sz w:val="22"/>
                <w:szCs w:val="22"/>
              </w:rPr>
            </w:pPr>
            <w:r w:rsidRPr="00692636">
              <w:rPr>
                <w:sz w:val="22"/>
                <w:szCs w:val="22"/>
              </w:rPr>
              <w:t>&gt;120</w:t>
            </w:r>
          </w:p>
        </w:tc>
        <w:tc>
          <w:tcPr>
            <w:tcW w:w="0" w:type="auto"/>
            <w:vAlign w:val="center"/>
            <w:hideMark/>
          </w:tcPr>
          <w:p w14:paraId="2681FDF2" w14:textId="77777777" w:rsidR="00692636" w:rsidRPr="00692636" w:rsidRDefault="00692636" w:rsidP="00692636">
            <w:pPr>
              <w:pStyle w:val="GvdeMetni"/>
              <w:jc w:val="both"/>
              <w:rPr>
                <w:sz w:val="22"/>
                <w:szCs w:val="22"/>
              </w:rPr>
            </w:pPr>
            <w:r w:rsidRPr="00692636">
              <w:rPr>
                <w:sz w:val="22"/>
                <w:szCs w:val="22"/>
              </w:rPr>
              <w:t>Çok şiddetli (öldürücü)</w:t>
            </w:r>
          </w:p>
        </w:tc>
      </w:tr>
    </w:tbl>
    <w:p w14:paraId="54823D14" w14:textId="0AE2A144" w:rsidR="00692636" w:rsidRDefault="00F27A66" w:rsidP="004215CE">
      <w:pPr>
        <w:pStyle w:val="GvdeMetni"/>
        <w:jc w:val="both"/>
      </w:pPr>
      <w:r w:rsidRPr="00F27A66">
        <w:t>*45 mg/dL’nin altındaki kan düzeyleri çoğu zaman asemptomatik olabilir.</w:t>
      </w:r>
    </w:p>
    <w:p w14:paraId="0C4E4045" w14:textId="77777777" w:rsidR="00120089" w:rsidRDefault="00120089" w:rsidP="004215CE">
      <w:pPr>
        <w:pStyle w:val="GvdeMetni"/>
        <w:jc w:val="both"/>
      </w:pPr>
    </w:p>
    <w:p w14:paraId="773B04AD" w14:textId="77777777" w:rsidR="00EA5932" w:rsidRPr="00120089" w:rsidRDefault="00EA5932" w:rsidP="00EA5932">
      <w:pPr>
        <w:pStyle w:val="GvdeMetni"/>
        <w:jc w:val="both"/>
        <w:rPr>
          <w:b/>
          <w:bCs/>
        </w:rPr>
      </w:pPr>
      <w:r w:rsidRPr="00120089">
        <w:rPr>
          <w:b/>
          <w:bCs/>
        </w:rPr>
        <w:t>Biyolojik Sıvılarda Salisilat Renk Testi (Trinder Testi)</w:t>
      </w:r>
    </w:p>
    <w:p w14:paraId="2E2F66E5" w14:textId="77777777" w:rsidR="00EA5932" w:rsidRDefault="00EA5932" w:rsidP="00EA5932">
      <w:pPr>
        <w:pStyle w:val="GvdeMetni"/>
        <w:jc w:val="both"/>
      </w:pPr>
    </w:p>
    <w:p w14:paraId="4A2A228F" w14:textId="4756E2FB" w:rsidR="00EA5932" w:rsidRDefault="00EA5932" w:rsidP="00EA5932">
      <w:pPr>
        <w:pStyle w:val="GvdeMetni"/>
        <w:jc w:val="both"/>
      </w:pPr>
      <w:r>
        <w:t xml:space="preserve">Aspirin zehirlenmelerinde pratikte kullanılan rutin yöntemlerden biri Trinder testidir. Bu test; kan, idrar ve mide içeriği gibi biyolojik örneklerde salisilatların saptanmasına yardımcı olur. Temel prensip, salisilatların Fe³⁺ ile mor/viyole renkli kompleks </w:t>
      </w:r>
      <w:proofErr w:type="gramStart"/>
      <w:r>
        <w:t>oluşturmasıdır.Asetilsalisilik</w:t>
      </w:r>
      <w:proofErr w:type="gramEnd"/>
      <w:r>
        <w:t xml:space="preserve"> asit oral alımdan sonra salisilik aside hidrolize olduğundan, kan ve idrar örneklerinde Trinder reaktifi genellikle doğrudan örneğe eklenebilir. Ancak mide içeriği ile çalışılıyorsa, asetilsalisilik asidin önce salisilik aside hidrolizi gerekebilir. Bu yöntemle idrarda salisilat için yaklaşık 20 mg/L düzeyinde bir saptama sınırından söz edilir.</w:t>
      </w:r>
    </w:p>
    <w:p w14:paraId="441D941C" w14:textId="77777777" w:rsidR="00EA5932" w:rsidRPr="00EA5932" w:rsidRDefault="00EA5932" w:rsidP="00EA5932">
      <w:pPr>
        <w:pStyle w:val="GvdeMetni"/>
        <w:jc w:val="both"/>
        <w:rPr>
          <w:b/>
          <w:bCs/>
        </w:rPr>
      </w:pPr>
      <w:r w:rsidRPr="00EA5932">
        <w:rPr>
          <w:b/>
          <w:bCs/>
        </w:rPr>
        <w:t>Yöntemin sınırlılıkları</w:t>
      </w:r>
    </w:p>
    <w:p w14:paraId="382196A1" w14:textId="77777777" w:rsidR="00EA5932" w:rsidRDefault="00EA5932" w:rsidP="00EA5932">
      <w:pPr>
        <w:pStyle w:val="GvdeMetni"/>
        <w:jc w:val="both"/>
      </w:pPr>
      <w:r>
        <w:t>Trinder testi tam spesifik değildir. Örneğin bazı ilaçlar (örn. diflunisal) yüksek dozlarda zayıf reaksiyon verebilir. Ayrıca örnekte fenotiyazin grubu ilaçların bulunması durumunda nadiren farklı renkler (pembe/mavi gibi) görülebilir. Aspirin terapötik dozlarda kullanılsa bile renk reaksiyonunun pozitifleşebileceği unutulmamalıdır. Bu nedenle daha güvenilir yaklaşım, plazma salisilat düzeyinin nicel ölçümüdür.</w:t>
      </w:r>
    </w:p>
    <w:p w14:paraId="3C84A2E7" w14:textId="77777777" w:rsidR="00EA5932" w:rsidRDefault="00EA5932" w:rsidP="00EA5932">
      <w:pPr>
        <w:pStyle w:val="GvdeMetni"/>
        <w:jc w:val="both"/>
      </w:pPr>
      <w:r>
        <w:t>Salisilatların nicel tayininde UV-spektrofotometri, florimetri, gaz kromatografisi ve HPLC gibi yöntemler kullanılabilir.</w:t>
      </w:r>
    </w:p>
    <w:p w14:paraId="563980DA" w14:textId="77777777" w:rsidR="00EA5932" w:rsidRPr="00253FBE" w:rsidRDefault="00EA5932" w:rsidP="00EA5932">
      <w:pPr>
        <w:pStyle w:val="GvdeMetni"/>
        <w:jc w:val="both"/>
        <w:rPr>
          <w:b/>
          <w:bCs/>
        </w:rPr>
      </w:pPr>
      <w:r w:rsidRPr="00253FBE">
        <w:rPr>
          <w:b/>
          <w:bCs/>
        </w:rPr>
        <w:t>Sonuçların Klinik Değerlendirilmesi (Done Nomogramı)</w:t>
      </w:r>
    </w:p>
    <w:p w14:paraId="6595DDF0" w14:textId="77777777" w:rsidR="00EA5932" w:rsidRDefault="00EA5932" w:rsidP="00EA5932">
      <w:pPr>
        <w:pStyle w:val="GvdeMetni"/>
        <w:jc w:val="both"/>
      </w:pPr>
      <w:r>
        <w:t xml:space="preserve">Vakanın şiddetini değerlendirmede kan salisilat düzeyi </w:t>
      </w:r>
      <w:proofErr w:type="gramStart"/>
      <w:r>
        <w:t>ile birlikte</w:t>
      </w:r>
      <w:proofErr w:type="gramEnd"/>
      <w:r>
        <w:t xml:space="preserve"> objektif klinik bulgular önemlidir. Klinik pratikte toksisite değerlendirmesinde Done nomogramı kullanılabilir; ancak bu nomogram, özellikle tek doz oral alımın olduğu ve alım zamanının net bilindiği durumlarda daha anlamlıdır. Bu nedenle alımdan en az 6 saat sonra başlayarak belirli aralıklarla kan salisilat konsantrasyonu ölçülmesi önerilir.</w:t>
      </w:r>
    </w:p>
    <w:p w14:paraId="349DBBC8" w14:textId="050ACB90" w:rsidR="00B9393A" w:rsidRDefault="00EA5932" w:rsidP="00EA5932">
      <w:pPr>
        <w:pStyle w:val="GvdeMetni"/>
        <w:jc w:val="both"/>
      </w:pPr>
      <w:proofErr w:type="gramStart"/>
      <w:r>
        <w:t>Done</w:t>
      </w:r>
      <w:proofErr w:type="gramEnd"/>
      <w:r>
        <w:t xml:space="preserve"> nomogramı tek başına yeterli görülmemeli; özellikle ölçüm zamanı kritik olduğu için, en iyi yaklaşım nomogramın klinik dereceleme </w:t>
      </w:r>
      <w:proofErr w:type="gramStart"/>
      <w:r>
        <w:t>ile birlikte</w:t>
      </w:r>
      <w:proofErr w:type="gramEnd"/>
      <w:r>
        <w:t xml:space="preserve"> değerlendirilmesidir.</w:t>
      </w:r>
    </w:p>
    <w:p w14:paraId="2C6DA480" w14:textId="77777777" w:rsidR="00487311" w:rsidRPr="00487311" w:rsidRDefault="00487311" w:rsidP="00487311">
      <w:pPr>
        <w:pStyle w:val="GvdeMetni"/>
        <w:jc w:val="both"/>
        <w:rPr>
          <w:b/>
          <w:bCs/>
        </w:rPr>
      </w:pPr>
      <w:r w:rsidRPr="00487311">
        <w:rPr>
          <w:b/>
          <w:bCs/>
        </w:rPr>
        <w:t>Kan Salisilat Düzeyine Göre Salisilat İntoksikasyonunun Şiddetinin Değerlendirilmesi</w:t>
      </w:r>
    </w:p>
    <w:p w14:paraId="054C7B13" w14:textId="77777777" w:rsidR="00487311" w:rsidRDefault="00487311" w:rsidP="00487311">
      <w:pPr>
        <w:pStyle w:val="GvdeMetni"/>
        <w:jc w:val="both"/>
      </w:pPr>
      <w:r>
        <w:lastRenderedPageBreak/>
        <w:t>A) İlk Kan Düzeyi (1. KD)</w:t>
      </w:r>
    </w:p>
    <w:p w14:paraId="2430E0BB" w14:textId="77777777" w:rsidR="00487311" w:rsidRDefault="00487311" w:rsidP="00487311">
      <w:pPr>
        <w:pStyle w:val="GvdeMetni"/>
        <w:jc w:val="both"/>
      </w:pPr>
      <w:r>
        <w:t xml:space="preserve">1. KD </w:t>
      </w:r>
      <w:proofErr w:type="gramStart"/>
      <w:r>
        <w:t>&lt; 30</w:t>
      </w:r>
      <w:proofErr w:type="gramEnd"/>
      <w:r>
        <w:t xml:space="preserve"> mg/dL ise</w:t>
      </w:r>
    </w:p>
    <w:p w14:paraId="26316AE5" w14:textId="77777777" w:rsidR="00487311" w:rsidRDefault="00487311" w:rsidP="00487311">
      <w:pPr>
        <w:pStyle w:val="GvdeMetni"/>
        <w:jc w:val="both"/>
      </w:pPr>
      <w:r>
        <w:t>Hasta klinik olarak asemptomatik görünüyorsa maruziyet nontoksik kabul edilebilir ve taburcu edilebilir.</w:t>
      </w:r>
    </w:p>
    <w:p w14:paraId="048ACF2B" w14:textId="77777777" w:rsidR="00487311" w:rsidRDefault="00487311" w:rsidP="00487311">
      <w:pPr>
        <w:pStyle w:val="GvdeMetni"/>
        <w:jc w:val="both"/>
      </w:pPr>
      <w:r>
        <w:t>1. KD ≥ 30 mg/dL ise</w:t>
      </w:r>
    </w:p>
    <w:p w14:paraId="47B3ED56" w14:textId="77777777" w:rsidR="00487311" w:rsidRDefault="00487311" w:rsidP="00487311">
      <w:pPr>
        <w:pStyle w:val="GvdeMetni"/>
        <w:jc w:val="both"/>
      </w:pPr>
      <w:r>
        <w:t>Hasta semptomatikse, ilk ölçümden en az 2 saat sonra kan salisilat düzeyi tekrar ölçülmeli ve değerlendirme 2. KD’ye göre yapılmalıdır.</w:t>
      </w:r>
    </w:p>
    <w:p w14:paraId="3BF1E713" w14:textId="77777777" w:rsidR="00487311" w:rsidRDefault="00487311" w:rsidP="00487311">
      <w:pPr>
        <w:pStyle w:val="GvdeMetni"/>
        <w:jc w:val="both"/>
      </w:pPr>
      <w:r>
        <w:t>B) İkinci Kan Düzeyi (2. KD)</w:t>
      </w:r>
    </w:p>
    <w:p w14:paraId="46BF4851" w14:textId="77777777" w:rsidR="00487311" w:rsidRDefault="00487311" w:rsidP="00487311">
      <w:pPr>
        <w:pStyle w:val="GvdeMetni"/>
        <w:jc w:val="both"/>
      </w:pPr>
      <w:r>
        <w:t xml:space="preserve">Eğer 1. </w:t>
      </w:r>
      <w:proofErr w:type="gramStart"/>
      <w:r>
        <w:t>KD &gt;</w:t>
      </w:r>
      <w:proofErr w:type="gramEnd"/>
      <w:r>
        <w:t xml:space="preserve"> 2. KD ve 2. KD </w:t>
      </w:r>
      <w:proofErr w:type="gramStart"/>
      <w:r>
        <w:t>&lt; 40</w:t>
      </w:r>
      <w:proofErr w:type="gramEnd"/>
      <w:r>
        <w:t xml:space="preserve"> mg/dL ise;</w:t>
      </w:r>
    </w:p>
    <w:p w14:paraId="22645228" w14:textId="77777777" w:rsidR="00487311" w:rsidRDefault="00487311" w:rsidP="00487311">
      <w:pPr>
        <w:pStyle w:val="GvdeMetni"/>
        <w:jc w:val="both"/>
      </w:pPr>
      <w:r>
        <w:t>Ayrıca ilacın alımından en az 6 saat geçmişse ve hasta asemptomatikse, taburcu edilebilir.</w:t>
      </w:r>
    </w:p>
    <w:p w14:paraId="79C285AB" w14:textId="77777777" w:rsidR="00487311" w:rsidRDefault="00487311" w:rsidP="00487311">
      <w:pPr>
        <w:pStyle w:val="GvdeMetni"/>
        <w:jc w:val="both"/>
      </w:pPr>
      <w:r>
        <w:t>2. KD nomogramda “hafif” aralığındaysa:</w:t>
      </w:r>
    </w:p>
    <w:p w14:paraId="21D5F10B" w14:textId="77777777" w:rsidR="00487311" w:rsidRDefault="00487311" w:rsidP="00487311">
      <w:pPr>
        <w:pStyle w:val="GvdeMetni"/>
        <w:jc w:val="both"/>
      </w:pPr>
      <w:r>
        <w:t>Hasta en az 4–8 saat gözlem altında tutulmalıdır.</w:t>
      </w:r>
    </w:p>
    <w:p w14:paraId="667D7E94" w14:textId="77777777" w:rsidR="00487311" w:rsidRDefault="00487311" w:rsidP="00487311">
      <w:pPr>
        <w:pStyle w:val="GvdeMetni"/>
        <w:jc w:val="both"/>
      </w:pPr>
      <w:r>
        <w:t>Arter kan gazı değerlendirilmesi yapılmalı ve IV hidrasyon başlatılmalıdır.</w:t>
      </w:r>
    </w:p>
    <w:p w14:paraId="4F802AEA" w14:textId="77777777" w:rsidR="00487311" w:rsidRDefault="00487311" w:rsidP="00487311">
      <w:pPr>
        <w:pStyle w:val="GvdeMetni"/>
        <w:jc w:val="both"/>
      </w:pPr>
      <w:r>
        <w:t>2. KD nomogramda “orta” aralığındaysa:</w:t>
      </w:r>
    </w:p>
    <w:p w14:paraId="778FE28A" w14:textId="77777777" w:rsidR="00487311" w:rsidRDefault="00487311" w:rsidP="00487311">
      <w:pPr>
        <w:pStyle w:val="GvdeMetni"/>
        <w:jc w:val="both"/>
      </w:pPr>
      <w:r>
        <w:t>Ağır toksisite gelişme riski bulunduğundan hasta yatırılarak izlenmelidir.</w:t>
      </w:r>
    </w:p>
    <w:p w14:paraId="2A02E1B3" w14:textId="77777777" w:rsidR="00487311" w:rsidRDefault="00487311" w:rsidP="00487311">
      <w:pPr>
        <w:pStyle w:val="GvdeMetni"/>
        <w:jc w:val="both"/>
      </w:pPr>
      <w:r>
        <w:t>Eliminasyon yarı ömrü hesaplandığında t½ ≈ 15 saat bulunuyorsa:</w:t>
      </w:r>
    </w:p>
    <w:p w14:paraId="563A69EF" w14:textId="77777777" w:rsidR="00487311" w:rsidRDefault="00487311" w:rsidP="00487311">
      <w:pPr>
        <w:pStyle w:val="GvdeMetni"/>
        <w:jc w:val="both"/>
      </w:pPr>
      <w:r>
        <w:t>Bu durum ağır toksisite lehinedir; hasta yoğun bakım koşullarında izlenmelidir.</w:t>
      </w:r>
    </w:p>
    <w:p w14:paraId="602C5606" w14:textId="77777777" w:rsidR="00487311" w:rsidRDefault="00487311" w:rsidP="00487311">
      <w:pPr>
        <w:pStyle w:val="GvdeMetni"/>
        <w:jc w:val="both"/>
      </w:pPr>
      <w:r>
        <w:t>Hastada aşağıdakilerden herhangi biri varsa:</w:t>
      </w:r>
    </w:p>
    <w:p w14:paraId="61E27719" w14:textId="77777777" w:rsidR="00487311" w:rsidRDefault="00487311" w:rsidP="00487311">
      <w:pPr>
        <w:pStyle w:val="GvdeMetni"/>
        <w:jc w:val="both"/>
      </w:pPr>
      <w:r>
        <w:t>Belirgin asidoz,</w:t>
      </w:r>
    </w:p>
    <w:p w14:paraId="40460A4E" w14:textId="77777777" w:rsidR="00487311" w:rsidRDefault="00487311" w:rsidP="00487311">
      <w:pPr>
        <w:pStyle w:val="GvdeMetni"/>
        <w:jc w:val="both"/>
      </w:pPr>
      <w:r>
        <w:t>Önemli metabolik bozukluk,</w:t>
      </w:r>
    </w:p>
    <w:p w14:paraId="3BE7945A" w14:textId="77777777" w:rsidR="00487311" w:rsidRDefault="00487311" w:rsidP="00487311">
      <w:pPr>
        <w:pStyle w:val="GvdeMetni"/>
        <w:jc w:val="both"/>
      </w:pPr>
      <w:r>
        <w:t>Koma veya konvülsiyon,</w:t>
      </w:r>
    </w:p>
    <w:p w14:paraId="3E332733" w14:textId="77777777" w:rsidR="00487311" w:rsidRDefault="00487311" w:rsidP="00487311">
      <w:pPr>
        <w:pStyle w:val="GvdeMetni"/>
        <w:jc w:val="both"/>
      </w:pPr>
      <w:r>
        <w:t>→ Ağır toksisite kabul edilir ve hasta yoğun bakıma alınmalıdır.</w:t>
      </w:r>
    </w:p>
    <w:p w14:paraId="2C3E6EF7" w14:textId="77777777" w:rsidR="00487311" w:rsidRDefault="00487311" w:rsidP="00487311">
      <w:pPr>
        <w:pStyle w:val="GvdeMetni"/>
        <w:jc w:val="both"/>
      </w:pPr>
      <w:r>
        <w:t>Tedavi (Genel Yaklaşım)</w:t>
      </w:r>
    </w:p>
    <w:p w14:paraId="7233BA8A" w14:textId="77777777" w:rsidR="00487311" w:rsidRDefault="00487311" w:rsidP="00487311">
      <w:pPr>
        <w:pStyle w:val="GvdeMetni"/>
        <w:jc w:val="both"/>
      </w:pPr>
      <w:r>
        <w:t>A) Temasın kesilmesi / Dekontaminasyon</w:t>
      </w:r>
    </w:p>
    <w:p w14:paraId="17C84D07" w14:textId="77777777" w:rsidR="00487311" w:rsidRDefault="00487311" w:rsidP="00487311">
      <w:pPr>
        <w:pStyle w:val="GvdeMetni"/>
        <w:jc w:val="both"/>
      </w:pPr>
      <w:r>
        <w:t>Uygunsa kusturma/mide yıkama girişimleri</w:t>
      </w:r>
    </w:p>
    <w:p w14:paraId="7C2AC9A5" w14:textId="77777777" w:rsidR="00487311" w:rsidRDefault="00487311" w:rsidP="00487311">
      <w:pPr>
        <w:pStyle w:val="GvdeMetni"/>
        <w:jc w:val="both"/>
      </w:pPr>
      <w:r>
        <w:t>Aktif kömür uygulanması</w:t>
      </w:r>
    </w:p>
    <w:p w14:paraId="1C937DDD" w14:textId="77777777" w:rsidR="00487311" w:rsidRDefault="00487311" w:rsidP="00487311">
      <w:pPr>
        <w:pStyle w:val="GvdeMetni"/>
        <w:jc w:val="both"/>
      </w:pPr>
      <w:r>
        <w:t>B) Destekleyici tedavi</w:t>
      </w:r>
    </w:p>
    <w:p w14:paraId="5F46ECDD" w14:textId="77777777" w:rsidR="00487311" w:rsidRDefault="00487311" w:rsidP="00487311">
      <w:pPr>
        <w:pStyle w:val="GvdeMetni"/>
        <w:jc w:val="both"/>
      </w:pPr>
      <w:r>
        <w:t>Sıvı kaybının yerine konması</w:t>
      </w:r>
    </w:p>
    <w:p w14:paraId="0C71A1F2" w14:textId="77777777" w:rsidR="00487311" w:rsidRDefault="00487311" w:rsidP="00487311">
      <w:pPr>
        <w:pStyle w:val="GvdeMetni"/>
        <w:jc w:val="both"/>
      </w:pPr>
      <w:r>
        <w:t>Elektrolit dengesizliğinin düzeltilmesi</w:t>
      </w:r>
    </w:p>
    <w:p w14:paraId="6ECA9960" w14:textId="0BA92F37" w:rsidR="00AB0642" w:rsidRDefault="00487311" w:rsidP="00487311">
      <w:pPr>
        <w:pStyle w:val="GvdeMetni"/>
        <w:jc w:val="both"/>
      </w:pPr>
      <w:r>
        <w:t>Asit–baz bozukluğunun düzeltilmesi</w:t>
      </w:r>
    </w:p>
    <w:p w14:paraId="2C2ED0EA" w14:textId="77777777" w:rsidR="003D7DA9" w:rsidRDefault="003D7DA9" w:rsidP="00487311">
      <w:pPr>
        <w:pStyle w:val="GvdeMetni"/>
        <w:jc w:val="both"/>
      </w:pPr>
    </w:p>
    <w:p w14:paraId="3995933C" w14:textId="6158D0FB" w:rsidR="004B283D" w:rsidRPr="004B283D" w:rsidRDefault="004B283D" w:rsidP="004B283D">
      <w:pPr>
        <w:pStyle w:val="GvdeMetni"/>
        <w:jc w:val="both"/>
      </w:pPr>
    </w:p>
    <w:p w14:paraId="0490BE3D" w14:textId="047B11E1" w:rsidR="004B283D" w:rsidRDefault="004B283D" w:rsidP="00487311">
      <w:pPr>
        <w:pStyle w:val="GvdeMetni"/>
        <w:jc w:val="both"/>
      </w:pPr>
      <w:r>
        <w:rPr>
          <w:noProof/>
        </w:rPr>
        <w:drawing>
          <wp:inline distT="0" distB="0" distL="0" distR="0" wp14:anchorId="45A64D31" wp14:editId="28AC83B6">
            <wp:extent cx="4339919" cy="2701290"/>
            <wp:effectExtent l="0" t="0" r="3810" b="3810"/>
            <wp:docPr id="90102134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1096" cy="2708247"/>
                    </a:xfrm>
                    <a:prstGeom prst="rect">
                      <a:avLst/>
                    </a:prstGeom>
                    <a:noFill/>
                  </pic:spPr>
                </pic:pic>
              </a:graphicData>
            </a:graphic>
          </wp:inline>
        </w:drawing>
      </w:r>
    </w:p>
    <w:p w14:paraId="051F07FD" w14:textId="66F02433" w:rsidR="003D7DA9" w:rsidRDefault="003D7DA9" w:rsidP="00487311">
      <w:pPr>
        <w:pStyle w:val="GvdeMetni"/>
        <w:jc w:val="both"/>
      </w:pPr>
    </w:p>
    <w:p w14:paraId="287C16CF" w14:textId="698E32BF" w:rsidR="003D7DA9" w:rsidRPr="00694B41" w:rsidRDefault="004B283D" w:rsidP="00487311">
      <w:pPr>
        <w:pStyle w:val="GvdeMetni"/>
        <w:jc w:val="both"/>
        <w:rPr>
          <w:i/>
          <w:iCs/>
          <w:sz w:val="20"/>
          <w:szCs w:val="20"/>
        </w:rPr>
      </w:pPr>
      <w:r>
        <w:rPr>
          <w:i/>
          <w:iCs/>
          <w:sz w:val="20"/>
          <w:szCs w:val="20"/>
        </w:rPr>
        <w:t xml:space="preserve">                            </w:t>
      </w:r>
      <w:r w:rsidR="00694B41" w:rsidRPr="00694B41">
        <w:rPr>
          <w:i/>
          <w:iCs/>
          <w:sz w:val="20"/>
          <w:szCs w:val="20"/>
        </w:rPr>
        <w:t>Şekil 6: Done Nomogramı</w:t>
      </w:r>
    </w:p>
    <w:p w14:paraId="491A8477" w14:textId="29EA2C50" w:rsidR="003D7DA9" w:rsidRDefault="003D7DA9" w:rsidP="00487311">
      <w:pPr>
        <w:pStyle w:val="GvdeMetni"/>
        <w:jc w:val="both"/>
      </w:pPr>
    </w:p>
    <w:p w14:paraId="78803AB1" w14:textId="77777777" w:rsidR="003D7DA9" w:rsidRDefault="003D7DA9" w:rsidP="00487311">
      <w:pPr>
        <w:pStyle w:val="GvdeMetni"/>
        <w:jc w:val="both"/>
      </w:pPr>
    </w:p>
    <w:p w14:paraId="726795A0" w14:textId="77777777" w:rsidR="00EE261F" w:rsidRPr="00EE261F" w:rsidRDefault="00EE261F" w:rsidP="00EE261F">
      <w:pPr>
        <w:pStyle w:val="GvdeMetni"/>
        <w:jc w:val="both"/>
        <w:rPr>
          <w:b/>
          <w:bCs/>
        </w:rPr>
      </w:pPr>
      <w:r w:rsidRPr="00EE261F">
        <w:rPr>
          <w:b/>
          <w:bCs/>
        </w:rPr>
        <w:t>Biyolojik Sıvılarda Salisilatın Nicel Tayini (Trinder Yöntemi)</w:t>
      </w:r>
    </w:p>
    <w:p w14:paraId="6155BBD6" w14:textId="0AE4066D" w:rsidR="003D7DA9" w:rsidRDefault="00EE261F" w:rsidP="00EE261F">
      <w:pPr>
        <w:pStyle w:val="GvdeMetni"/>
        <w:jc w:val="both"/>
        <w:rPr>
          <w:b/>
          <w:bCs/>
        </w:rPr>
      </w:pPr>
      <w:r w:rsidRPr="00EE261F">
        <w:rPr>
          <w:b/>
          <w:bCs/>
        </w:rPr>
        <w:t>Yöntemin Esası</w:t>
      </w:r>
    </w:p>
    <w:p w14:paraId="06C2B254" w14:textId="371CB86B" w:rsidR="00EE261F" w:rsidRDefault="00EE261F" w:rsidP="00EE261F">
      <w:pPr>
        <w:pStyle w:val="GvdeMetni"/>
        <w:jc w:val="both"/>
      </w:pPr>
      <w:r w:rsidRPr="00EE261F">
        <w:t>Salisilatlar, Fe³⁺ iyonu ile viyole renkli bir kompleks oluşturur. Oluşan kompleksin 540 nm’deki absorbansı ölçülerek salisilat miktarı belirlenir.</w:t>
      </w:r>
    </w:p>
    <w:p w14:paraId="2232B13F" w14:textId="77777777" w:rsidR="009B2F73" w:rsidRPr="009B2F73" w:rsidRDefault="009B2F73" w:rsidP="009B2F73">
      <w:pPr>
        <w:pStyle w:val="GvdeMetni"/>
        <w:jc w:val="both"/>
        <w:rPr>
          <w:b/>
          <w:bCs/>
        </w:rPr>
      </w:pPr>
      <w:r w:rsidRPr="009B2F73">
        <w:rPr>
          <w:b/>
          <w:bCs/>
        </w:rPr>
        <w:t>Deneyin Yapılışı</w:t>
      </w:r>
    </w:p>
    <w:p w14:paraId="13A6CF8D" w14:textId="77777777" w:rsidR="009B2F73" w:rsidRDefault="009B2F73" w:rsidP="009B2F73">
      <w:pPr>
        <w:pStyle w:val="GvdeMetni"/>
        <w:jc w:val="both"/>
      </w:pPr>
      <w:r>
        <w:t>Ölçüm karışımı hazırlanır:</w:t>
      </w:r>
    </w:p>
    <w:p w14:paraId="0383FAE2" w14:textId="77777777" w:rsidR="009B2F73" w:rsidRDefault="009B2F73" w:rsidP="009B2F73">
      <w:pPr>
        <w:pStyle w:val="GvdeMetni"/>
        <w:numPr>
          <w:ilvl w:val="0"/>
          <w:numId w:val="8"/>
        </w:numPr>
        <w:jc w:val="both"/>
      </w:pPr>
      <w:r>
        <w:t>0,5 mL örnek</w:t>
      </w:r>
    </w:p>
    <w:p w14:paraId="1B01B63E" w14:textId="77777777" w:rsidR="009B2F73" w:rsidRDefault="009B2F73" w:rsidP="009B2F73">
      <w:pPr>
        <w:pStyle w:val="GvdeMetni"/>
        <w:numPr>
          <w:ilvl w:val="0"/>
          <w:numId w:val="8"/>
        </w:numPr>
        <w:jc w:val="both"/>
      </w:pPr>
      <w:r>
        <w:t>2,0 mL distile su</w:t>
      </w:r>
    </w:p>
    <w:p w14:paraId="77AD7B15" w14:textId="77777777" w:rsidR="009B2F73" w:rsidRDefault="009B2F73" w:rsidP="009B2F73">
      <w:pPr>
        <w:pStyle w:val="GvdeMetni"/>
        <w:numPr>
          <w:ilvl w:val="0"/>
          <w:numId w:val="8"/>
        </w:numPr>
        <w:jc w:val="both"/>
      </w:pPr>
      <w:r>
        <w:t>0,5 mL Trinder reaktifi</w:t>
      </w:r>
    </w:p>
    <w:p w14:paraId="5557CEB0" w14:textId="77777777" w:rsidR="009B2F73" w:rsidRDefault="009B2F73" w:rsidP="009B2F73">
      <w:pPr>
        <w:pStyle w:val="GvdeMetni"/>
        <w:jc w:val="both"/>
      </w:pPr>
      <w:r>
        <w:t>Karıştırılır ve 540 nm’de absorbans okunur. (Oluşan renk yaklaşık 1 saat stabildir.)</w:t>
      </w:r>
    </w:p>
    <w:p w14:paraId="514BDDF3" w14:textId="77777777" w:rsidR="009B2F73" w:rsidRPr="009B2F73" w:rsidRDefault="009B2F73" w:rsidP="009B2F73">
      <w:pPr>
        <w:pStyle w:val="GvdeMetni"/>
        <w:jc w:val="both"/>
        <w:rPr>
          <w:b/>
          <w:bCs/>
        </w:rPr>
      </w:pPr>
      <w:r w:rsidRPr="009B2F73">
        <w:rPr>
          <w:b/>
          <w:bCs/>
        </w:rPr>
        <w:t>Hesaplama:</w:t>
      </w:r>
    </w:p>
    <w:p w14:paraId="69BB9C38" w14:textId="0492178B" w:rsidR="009B2F73" w:rsidRDefault="009B2F73" w:rsidP="009B2F73">
      <w:pPr>
        <w:pStyle w:val="GvdeMetni"/>
        <w:jc w:val="both"/>
      </w:pPr>
      <w:r>
        <w:t>Örneğin salisilat konsantrasyonu, kalibrasyon doğrusu kullanılarak mg/dL cinsinden hesaplanır.</w:t>
      </w:r>
    </w:p>
    <w:p w14:paraId="09FD1952" w14:textId="77777777" w:rsidR="000C4342" w:rsidRPr="000C4342" w:rsidRDefault="000C4342" w:rsidP="000C4342">
      <w:pPr>
        <w:pStyle w:val="GvdeMetni"/>
        <w:jc w:val="both"/>
        <w:rPr>
          <w:b/>
          <w:bCs/>
        </w:rPr>
      </w:pPr>
      <w:r w:rsidRPr="000C4342">
        <w:rPr>
          <w:b/>
          <w:bCs/>
        </w:rPr>
        <w:t>Kör (Blank) Hazırlanması</w:t>
      </w:r>
    </w:p>
    <w:p w14:paraId="050E738C" w14:textId="77777777" w:rsidR="000C4342" w:rsidRDefault="000C4342" w:rsidP="000C4342">
      <w:pPr>
        <w:pStyle w:val="GvdeMetni"/>
        <w:jc w:val="both"/>
      </w:pPr>
      <w:r>
        <w:t>Örnek yerine 0,5 mL distile su kullanılır.</w:t>
      </w:r>
    </w:p>
    <w:p w14:paraId="29DCDD8B" w14:textId="687FDDDB" w:rsidR="009B2F73" w:rsidRDefault="000C4342" w:rsidP="000C4342">
      <w:pPr>
        <w:pStyle w:val="GvdeMetni"/>
        <w:jc w:val="both"/>
      </w:pPr>
      <w:r>
        <w:t>Aynı işlem basamakları uygulanır ve cihaz kör ile sıfırlanır.</w:t>
      </w:r>
    </w:p>
    <w:p w14:paraId="767B8C0C" w14:textId="77777777" w:rsidR="0022536E" w:rsidRPr="0022536E" w:rsidRDefault="0022536E" w:rsidP="0022536E">
      <w:pPr>
        <w:pStyle w:val="GvdeMetni"/>
        <w:jc w:val="both"/>
        <w:rPr>
          <w:b/>
          <w:bCs/>
        </w:rPr>
      </w:pPr>
      <w:r w:rsidRPr="0022536E">
        <w:rPr>
          <w:b/>
          <w:bCs/>
        </w:rPr>
        <w:t>Kalibrasyon Doğrusu İçin Standartların Hazırlanması</w:t>
      </w:r>
    </w:p>
    <w:p w14:paraId="52A613F4" w14:textId="77777777" w:rsidR="0022536E" w:rsidRDefault="0022536E" w:rsidP="0022536E">
      <w:pPr>
        <w:pStyle w:val="GvdeMetni"/>
        <w:jc w:val="both"/>
      </w:pPr>
      <w:r>
        <w:t>Kalibrasyon için kullanılacak standartlar, 50 mg/dL stok çözeltiden hazırlanır. Son hacim 5 mL olacak şekilde aşağıdaki konsantrasyonlar hazırlanır:</w:t>
      </w:r>
    </w:p>
    <w:p w14:paraId="004EA0F2" w14:textId="77777777" w:rsidR="0022536E" w:rsidRDefault="0022536E" w:rsidP="0022536E">
      <w:pPr>
        <w:pStyle w:val="GvdeMetni"/>
        <w:numPr>
          <w:ilvl w:val="0"/>
          <w:numId w:val="9"/>
        </w:numPr>
        <w:jc w:val="both"/>
      </w:pPr>
      <w:r>
        <w:t>10 mg/dL</w:t>
      </w:r>
    </w:p>
    <w:p w14:paraId="688DFE78" w14:textId="77777777" w:rsidR="0022536E" w:rsidRDefault="0022536E" w:rsidP="0022536E">
      <w:pPr>
        <w:pStyle w:val="GvdeMetni"/>
        <w:numPr>
          <w:ilvl w:val="0"/>
          <w:numId w:val="9"/>
        </w:numPr>
        <w:jc w:val="both"/>
      </w:pPr>
      <w:r>
        <w:t>20 mg/dL</w:t>
      </w:r>
    </w:p>
    <w:p w14:paraId="7810B60F" w14:textId="77777777" w:rsidR="0022536E" w:rsidRDefault="0022536E" w:rsidP="0022536E">
      <w:pPr>
        <w:pStyle w:val="GvdeMetni"/>
        <w:numPr>
          <w:ilvl w:val="0"/>
          <w:numId w:val="9"/>
        </w:numPr>
        <w:jc w:val="both"/>
      </w:pPr>
      <w:r>
        <w:t>30 mg/dL</w:t>
      </w:r>
    </w:p>
    <w:p w14:paraId="482CA9D8" w14:textId="19F0D11F" w:rsidR="000C4342" w:rsidRDefault="0022536E" w:rsidP="0022536E">
      <w:pPr>
        <w:pStyle w:val="GvdeMetni"/>
        <w:numPr>
          <w:ilvl w:val="0"/>
          <w:numId w:val="9"/>
        </w:numPr>
        <w:jc w:val="both"/>
      </w:pPr>
      <w:r>
        <w:t>40 mg/dL</w:t>
      </w:r>
    </w:p>
    <w:p w14:paraId="04985A0B" w14:textId="77777777" w:rsidR="00FF1645" w:rsidRPr="00FF1645" w:rsidRDefault="00FF1645" w:rsidP="00FF1645">
      <w:pPr>
        <w:pStyle w:val="GvdeMetni"/>
        <w:jc w:val="both"/>
        <w:rPr>
          <w:b/>
          <w:bCs/>
        </w:rPr>
      </w:pPr>
      <w:r w:rsidRPr="00FF1645">
        <w:rPr>
          <w:b/>
          <w:bCs/>
        </w:rPr>
        <w:t>Standartların Ölçümü</w:t>
      </w:r>
    </w:p>
    <w:p w14:paraId="4E483F5C" w14:textId="77777777" w:rsidR="00FF1645" w:rsidRDefault="00FF1645" w:rsidP="00FF1645">
      <w:pPr>
        <w:pStyle w:val="GvdeMetni"/>
        <w:jc w:val="both"/>
      </w:pPr>
      <w:r>
        <w:t>Her bir standart için aynı prosedür uygulanır:</w:t>
      </w:r>
    </w:p>
    <w:p w14:paraId="3618AB2D" w14:textId="77777777" w:rsidR="00FF1645" w:rsidRDefault="00FF1645" w:rsidP="00FF1645">
      <w:pPr>
        <w:pStyle w:val="GvdeMetni"/>
        <w:numPr>
          <w:ilvl w:val="0"/>
          <w:numId w:val="10"/>
        </w:numPr>
        <w:jc w:val="both"/>
      </w:pPr>
      <w:r>
        <w:t>0,5 mL standart + 2,0 mL distile su + 0,5 mL Trinder reaktifi</w:t>
      </w:r>
    </w:p>
    <w:p w14:paraId="4BBFA28B" w14:textId="1E1D6116" w:rsidR="0022536E" w:rsidRDefault="00FF1645" w:rsidP="00FF1645">
      <w:pPr>
        <w:pStyle w:val="GvdeMetni"/>
        <w:numPr>
          <w:ilvl w:val="0"/>
          <w:numId w:val="10"/>
        </w:numPr>
        <w:jc w:val="both"/>
      </w:pPr>
      <w:r>
        <w:t>Karıştırılır, 540 nm’de absorbans ölçülür.</w:t>
      </w:r>
    </w:p>
    <w:p w14:paraId="7D95CD59" w14:textId="77777777" w:rsidR="00D81A0A" w:rsidRPr="00D81A0A" w:rsidRDefault="00D81A0A" w:rsidP="00D81A0A">
      <w:pPr>
        <w:pStyle w:val="GvdeMetni"/>
        <w:jc w:val="both"/>
        <w:rPr>
          <w:b/>
          <w:bCs/>
        </w:rPr>
      </w:pPr>
      <w:r w:rsidRPr="00D81A0A">
        <w:rPr>
          <w:b/>
          <w:bCs/>
        </w:rPr>
        <w:t>Grafik (Kalibrasyon) Yöntemi ile Konsantrasyon Hesabı</w:t>
      </w:r>
    </w:p>
    <w:p w14:paraId="003A25DE" w14:textId="77777777" w:rsidR="00D81A0A" w:rsidRDefault="00D81A0A" w:rsidP="00D81A0A">
      <w:pPr>
        <w:pStyle w:val="GvdeMetni"/>
        <w:jc w:val="both"/>
      </w:pPr>
      <w:r>
        <w:t>Standartların konsantrasyonları (x ekseni) ve absorbansları (y ekseni) kullanılarak Excel’de kalibrasyon grafiği çizilir.</w:t>
      </w:r>
    </w:p>
    <w:p w14:paraId="0B62D6A6" w14:textId="04DA334D" w:rsidR="00D81A0A" w:rsidRPr="00EE261F" w:rsidRDefault="00D81A0A" w:rsidP="00D81A0A">
      <w:pPr>
        <w:pStyle w:val="GvdeMetni"/>
        <w:jc w:val="both"/>
      </w:pPr>
      <w:r>
        <w:t>Doğrunun denklemi elde edilir:</w:t>
      </w:r>
    </w:p>
    <w:p w14:paraId="64479A2F" w14:textId="168314A8" w:rsidR="003D7DA9" w:rsidRDefault="003813C2" w:rsidP="00487311">
      <w:pPr>
        <w:pStyle w:val="GvdeMetni"/>
        <w:jc w:val="both"/>
      </w:pPr>
      <w:proofErr w:type="gramStart"/>
      <w:r w:rsidRPr="003813C2">
        <w:t>y</w:t>
      </w:r>
      <w:proofErr w:type="gramEnd"/>
      <w:r w:rsidRPr="003813C2">
        <w:t>=ax+b</w:t>
      </w:r>
    </w:p>
    <w:p w14:paraId="74A38E7A" w14:textId="3ACB948F" w:rsidR="003813C2" w:rsidRDefault="003813C2" w:rsidP="00487311">
      <w:pPr>
        <w:pStyle w:val="GvdeMetni"/>
        <w:jc w:val="both"/>
      </w:pPr>
      <w:r w:rsidRPr="003813C2">
        <w:t>Bilinmeyen örneğin absorbans değeri (y) denkleme yazılarak konsantrasyon (x) hesaplanır.</w:t>
      </w:r>
    </w:p>
    <w:p w14:paraId="4F723DD2" w14:textId="78FBD679" w:rsidR="00A80490" w:rsidRDefault="00A80490" w:rsidP="00487311">
      <w:pPr>
        <w:pStyle w:val="GvdeMetni"/>
        <w:jc w:val="both"/>
      </w:pPr>
      <w:r>
        <w:t>Deneyin özeti şekil</w:t>
      </w:r>
      <w:r w:rsidR="009B2BED">
        <w:t>.7 de akış diyağramı olarak özetlenmiştir.</w:t>
      </w:r>
    </w:p>
    <w:p w14:paraId="4742BCF2" w14:textId="0D63A2EC" w:rsidR="00930B84" w:rsidRDefault="00930B84" w:rsidP="00487311">
      <w:pPr>
        <w:pStyle w:val="GvdeMetni"/>
        <w:jc w:val="both"/>
      </w:pPr>
      <w:bookmarkStart w:id="0" w:name="_Hlk219134262"/>
      <w:r w:rsidRPr="001663F2">
        <w:rPr>
          <w:b/>
          <w:bCs/>
          <w:i/>
          <w:iCs/>
        </w:rPr>
        <w:t>Trinder Reaktifi:</w:t>
      </w:r>
      <w:r w:rsidR="00320D0C" w:rsidRPr="001663F2">
        <w:rPr>
          <w:b/>
          <w:bCs/>
          <w:i/>
          <w:iCs/>
        </w:rPr>
        <w:t xml:space="preserve"> </w:t>
      </w:r>
      <w:r w:rsidR="00320D0C" w:rsidRPr="001663F2">
        <w:rPr>
          <w:b/>
          <w:bCs/>
        </w:rPr>
        <w:t>T</w:t>
      </w:r>
      <w:r w:rsidR="00320D0C" w:rsidRPr="00320D0C">
        <w:t>rinder reaktifi (salisilatların Fe³⁺ ile viyole kompleks oluşturmasına dayan</w:t>
      </w:r>
      <w:r w:rsidR="00320D0C">
        <w:t>ır.</w:t>
      </w:r>
    </w:p>
    <w:p w14:paraId="520A4C21" w14:textId="2563F8CE" w:rsidR="00AD31EC" w:rsidRDefault="00AD31EC" w:rsidP="00487311">
      <w:pPr>
        <w:pStyle w:val="GvdeMetni"/>
        <w:jc w:val="both"/>
      </w:pPr>
      <w:r>
        <w:t>Hazırlanışı:</w:t>
      </w:r>
      <w:r w:rsidRPr="00AD31EC">
        <w:t xml:space="preserve"> 100 mL</w:t>
      </w:r>
      <w:r>
        <w:t xml:space="preserve"> için</w:t>
      </w:r>
    </w:p>
    <w:p w14:paraId="13DB5413" w14:textId="77777777" w:rsidR="00AD31EC" w:rsidRDefault="00AD31EC" w:rsidP="00AD31EC">
      <w:pPr>
        <w:pStyle w:val="GvdeMetni"/>
        <w:jc w:val="both"/>
      </w:pPr>
      <w:r>
        <w:t>HgCl₂: 4.0 g</w:t>
      </w:r>
    </w:p>
    <w:p w14:paraId="72937EF0" w14:textId="77777777" w:rsidR="00AD31EC" w:rsidRDefault="00AD31EC" w:rsidP="00AD31EC">
      <w:pPr>
        <w:pStyle w:val="GvdeMetni"/>
        <w:jc w:val="both"/>
      </w:pPr>
      <w:proofErr w:type="gramStart"/>
      <w:r>
        <w:t>Fe(</w:t>
      </w:r>
      <w:proofErr w:type="gramEnd"/>
      <w:r>
        <w:t>NO</w:t>
      </w:r>
      <w:proofErr w:type="gramStart"/>
      <w:r>
        <w:t>₃)₃</w:t>
      </w:r>
      <w:proofErr w:type="gramEnd"/>
      <w:r>
        <w:t>·9H₂O: 4.0 g</w:t>
      </w:r>
    </w:p>
    <w:p w14:paraId="194FDA83" w14:textId="77777777" w:rsidR="00AD31EC" w:rsidRDefault="00AD31EC" w:rsidP="00AD31EC">
      <w:pPr>
        <w:pStyle w:val="GvdeMetni"/>
        <w:jc w:val="both"/>
      </w:pPr>
      <w:r>
        <w:t>1 M HCl: 12 mL</w:t>
      </w:r>
    </w:p>
    <w:p w14:paraId="281F57D5" w14:textId="6AA52B7D" w:rsidR="00AD31EC" w:rsidRDefault="00AD31EC" w:rsidP="00AD31EC">
      <w:pPr>
        <w:pStyle w:val="GvdeMetni"/>
        <w:jc w:val="both"/>
      </w:pPr>
      <w:r>
        <w:t>Saf su: 100 mL’ye tamamlanır.</w:t>
      </w:r>
      <w:bookmarkEnd w:id="0"/>
    </w:p>
    <w:p w14:paraId="6906D6CE" w14:textId="3E33516A" w:rsidR="00475E8B" w:rsidRDefault="00475E8B" w:rsidP="00AD31EC">
      <w:pPr>
        <w:pStyle w:val="GvdeMetni"/>
        <w:jc w:val="both"/>
      </w:pPr>
      <w:r>
        <w:t>Güvenlik Notu</w:t>
      </w:r>
      <w:r w:rsidR="008A1F44" w:rsidRPr="008A1F44">
        <w:rPr>
          <w:b/>
          <w:bCs/>
        </w:rPr>
        <w:t>!!</w:t>
      </w:r>
      <w:r>
        <w:t>:</w:t>
      </w:r>
      <w:r w:rsidRPr="00475E8B">
        <w:t xml:space="preserve"> </w:t>
      </w:r>
      <w:r>
        <w:t>B</w:t>
      </w:r>
      <w:r w:rsidRPr="00475E8B">
        <w:t>u reaktif HgCl₂ içerdiği için çok toksiktir; hazırlama/aktarım çeker ocakta, uygun PPE ile ve cıvalı atık prosedürüne göre yapılmalıd</w:t>
      </w:r>
      <w:r>
        <w:t>ır.</w:t>
      </w:r>
    </w:p>
    <w:p w14:paraId="68787303" w14:textId="5D90312E" w:rsidR="00BD435C" w:rsidRPr="00BD435C" w:rsidRDefault="008A1F44" w:rsidP="00BD435C">
      <w:pPr>
        <w:pStyle w:val="GvdeMetni"/>
        <w:jc w:val="both"/>
      </w:pPr>
      <w:r w:rsidRPr="00BD435C">
        <w:rPr>
          <w:noProof/>
        </w:rPr>
        <w:lastRenderedPageBreak/>
        <w:drawing>
          <wp:anchor distT="0" distB="0" distL="114300" distR="114300" simplePos="0" relativeHeight="251699200" behindDoc="0" locked="0" layoutInCell="1" allowOverlap="1" wp14:anchorId="2BCCBCEC" wp14:editId="7FBB8CD2">
            <wp:simplePos x="0" y="0"/>
            <wp:positionH relativeFrom="margin">
              <wp:align>right</wp:align>
            </wp:positionH>
            <wp:positionV relativeFrom="paragraph">
              <wp:posOffset>60960</wp:posOffset>
            </wp:positionV>
            <wp:extent cx="5760720" cy="3278505"/>
            <wp:effectExtent l="0" t="0" r="0" b="0"/>
            <wp:wrapTopAndBottom/>
            <wp:docPr id="1240780213" name="Resim 17" descr="metin, diyagram, yazı tipi,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80213" name="Resim 17" descr="metin, diyagram, yazı tipi, çizgi içeren bir resim&#10;&#10;Yapay zeka tarafından oluşturulmuş içerik yanlış olabili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278505"/>
                    </a:xfrm>
                    <a:prstGeom prst="rect">
                      <a:avLst/>
                    </a:prstGeom>
                    <a:noFill/>
                    <a:ln>
                      <a:noFill/>
                    </a:ln>
                  </pic:spPr>
                </pic:pic>
              </a:graphicData>
            </a:graphic>
            <wp14:sizeRelV relativeFrom="margin">
              <wp14:pctHeight>0</wp14:pctHeight>
            </wp14:sizeRelV>
          </wp:anchor>
        </w:drawing>
      </w:r>
    </w:p>
    <w:p w14:paraId="6667A6F1" w14:textId="24FEAF57" w:rsidR="003D7DA9" w:rsidRPr="009B2BED" w:rsidRDefault="009B2BED" w:rsidP="00487311">
      <w:pPr>
        <w:pStyle w:val="GvdeMetni"/>
        <w:jc w:val="both"/>
        <w:rPr>
          <w:i/>
          <w:iCs/>
          <w:sz w:val="20"/>
          <w:szCs w:val="20"/>
        </w:rPr>
      </w:pPr>
      <w:r>
        <w:rPr>
          <w:i/>
          <w:iCs/>
          <w:sz w:val="20"/>
          <w:szCs w:val="20"/>
        </w:rPr>
        <w:t xml:space="preserve">                        </w:t>
      </w:r>
      <w:r w:rsidRPr="009B2BED">
        <w:rPr>
          <w:i/>
          <w:iCs/>
          <w:sz w:val="20"/>
          <w:szCs w:val="20"/>
        </w:rPr>
        <w:t>Şekil.7 Biyolojik Sıvılarda Salisilatın Nicel Tayini (Trinder Yöntemi)</w:t>
      </w:r>
    </w:p>
    <w:p w14:paraId="0B029686" w14:textId="77777777" w:rsidR="003D7DA9" w:rsidRPr="009B2BED" w:rsidRDefault="003D7DA9" w:rsidP="00487311">
      <w:pPr>
        <w:pStyle w:val="GvdeMetni"/>
        <w:jc w:val="both"/>
        <w:rPr>
          <w:i/>
          <w:iCs/>
          <w:sz w:val="20"/>
          <w:szCs w:val="20"/>
        </w:rPr>
      </w:pPr>
    </w:p>
    <w:p w14:paraId="4D8AC605" w14:textId="77777777" w:rsidR="003D7DA9" w:rsidRDefault="003D7DA9" w:rsidP="00487311">
      <w:pPr>
        <w:pStyle w:val="GvdeMetni"/>
        <w:jc w:val="both"/>
      </w:pPr>
    </w:p>
    <w:p w14:paraId="0360502C" w14:textId="77777777" w:rsidR="003D7DA9" w:rsidRDefault="003D7DA9" w:rsidP="00487311">
      <w:pPr>
        <w:pStyle w:val="GvdeMetni"/>
        <w:jc w:val="both"/>
      </w:pPr>
    </w:p>
    <w:p w14:paraId="420277BE" w14:textId="77777777" w:rsidR="003D7DA9" w:rsidRDefault="003D7DA9" w:rsidP="00487311">
      <w:pPr>
        <w:pStyle w:val="GvdeMetni"/>
        <w:jc w:val="both"/>
      </w:pPr>
    </w:p>
    <w:p w14:paraId="0B6EDA38" w14:textId="77777777" w:rsidR="003D7DA9" w:rsidRDefault="003D7DA9" w:rsidP="00487311">
      <w:pPr>
        <w:pStyle w:val="GvdeMetni"/>
        <w:jc w:val="both"/>
      </w:pPr>
    </w:p>
    <w:p w14:paraId="08BF6009" w14:textId="77777777" w:rsidR="003D7DA9" w:rsidRDefault="003D7DA9" w:rsidP="00487311">
      <w:pPr>
        <w:pStyle w:val="GvdeMetni"/>
        <w:jc w:val="both"/>
      </w:pPr>
    </w:p>
    <w:p w14:paraId="4E2561F0" w14:textId="77777777" w:rsidR="003D7DA9" w:rsidRDefault="003D7DA9" w:rsidP="00487311">
      <w:pPr>
        <w:pStyle w:val="GvdeMetni"/>
        <w:jc w:val="both"/>
      </w:pPr>
    </w:p>
    <w:p w14:paraId="0C5604C6" w14:textId="77777777" w:rsidR="003D7DA9" w:rsidRDefault="003D7DA9" w:rsidP="00487311">
      <w:pPr>
        <w:pStyle w:val="GvdeMetni"/>
        <w:jc w:val="both"/>
      </w:pPr>
    </w:p>
    <w:p w14:paraId="6E96DFC8" w14:textId="77777777" w:rsidR="003D7DA9" w:rsidRDefault="003D7DA9" w:rsidP="00487311">
      <w:pPr>
        <w:pStyle w:val="GvdeMetni"/>
        <w:jc w:val="both"/>
      </w:pPr>
    </w:p>
    <w:p w14:paraId="6F25A188" w14:textId="77777777" w:rsidR="003D7DA9" w:rsidRDefault="003D7DA9" w:rsidP="00487311">
      <w:pPr>
        <w:pStyle w:val="GvdeMetni"/>
        <w:jc w:val="both"/>
      </w:pPr>
    </w:p>
    <w:p w14:paraId="16BC70DE" w14:textId="77777777" w:rsidR="003D7DA9" w:rsidRDefault="003D7DA9" w:rsidP="00487311">
      <w:pPr>
        <w:pStyle w:val="GvdeMetni"/>
        <w:jc w:val="both"/>
      </w:pPr>
    </w:p>
    <w:p w14:paraId="564CC464" w14:textId="77777777" w:rsidR="003D7DA9" w:rsidRDefault="003D7DA9" w:rsidP="00487311">
      <w:pPr>
        <w:pStyle w:val="GvdeMetni"/>
        <w:jc w:val="both"/>
      </w:pPr>
    </w:p>
    <w:p w14:paraId="4249B5A5" w14:textId="77777777" w:rsidR="003D7DA9" w:rsidRDefault="003D7DA9" w:rsidP="00487311">
      <w:pPr>
        <w:pStyle w:val="GvdeMetni"/>
        <w:jc w:val="both"/>
      </w:pPr>
    </w:p>
    <w:p w14:paraId="0D14EEFA" w14:textId="77777777" w:rsidR="003D7DA9" w:rsidRDefault="003D7DA9" w:rsidP="00487311">
      <w:pPr>
        <w:pStyle w:val="GvdeMetni"/>
        <w:jc w:val="both"/>
      </w:pPr>
    </w:p>
    <w:p w14:paraId="3CB7927E" w14:textId="43DA0230" w:rsidR="003D7DA9" w:rsidRDefault="003D7DA9" w:rsidP="00487311">
      <w:pPr>
        <w:pStyle w:val="GvdeMetni"/>
        <w:jc w:val="both"/>
      </w:pPr>
    </w:p>
    <w:p w14:paraId="741A0A6F" w14:textId="77777777" w:rsidR="00504D46" w:rsidRDefault="00504D46" w:rsidP="00487311">
      <w:pPr>
        <w:pStyle w:val="GvdeMetni"/>
        <w:jc w:val="both"/>
      </w:pPr>
    </w:p>
    <w:p w14:paraId="3296C2DC" w14:textId="77777777" w:rsidR="00504D46" w:rsidRDefault="00504D46" w:rsidP="00487311">
      <w:pPr>
        <w:pStyle w:val="GvdeMetni"/>
        <w:jc w:val="both"/>
      </w:pPr>
    </w:p>
    <w:p w14:paraId="0AC970E3" w14:textId="77777777" w:rsidR="00504D46" w:rsidRDefault="00504D46" w:rsidP="00487311">
      <w:pPr>
        <w:pStyle w:val="GvdeMetni"/>
        <w:jc w:val="both"/>
      </w:pPr>
    </w:p>
    <w:p w14:paraId="2AD032DA" w14:textId="77777777" w:rsidR="00504D46" w:rsidRDefault="00504D46" w:rsidP="00487311">
      <w:pPr>
        <w:pStyle w:val="GvdeMetni"/>
        <w:jc w:val="both"/>
      </w:pPr>
    </w:p>
    <w:p w14:paraId="5BF346BC" w14:textId="77777777" w:rsidR="00504D46" w:rsidRDefault="00504D46" w:rsidP="00487311">
      <w:pPr>
        <w:pStyle w:val="GvdeMetni"/>
        <w:jc w:val="both"/>
      </w:pPr>
    </w:p>
    <w:p w14:paraId="183C60FE" w14:textId="77777777" w:rsidR="00504D46" w:rsidRDefault="00504D46" w:rsidP="00487311">
      <w:pPr>
        <w:pStyle w:val="GvdeMetni"/>
        <w:jc w:val="both"/>
      </w:pPr>
    </w:p>
    <w:p w14:paraId="3F1BD6B3" w14:textId="77777777" w:rsidR="00504D46" w:rsidRDefault="00504D46" w:rsidP="00487311">
      <w:pPr>
        <w:pStyle w:val="GvdeMetni"/>
        <w:jc w:val="both"/>
      </w:pPr>
    </w:p>
    <w:p w14:paraId="1F2F6160" w14:textId="77777777" w:rsidR="00504D46" w:rsidRDefault="00504D46" w:rsidP="00487311">
      <w:pPr>
        <w:pStyle w:val="GvdeMetni"/>
        <w:jc w:val="both"/>
      </w:pPr>
    </w:p>
    <w:p w14:paraId="51F0D3BE" w14:textId="77777777" w:rsidR="00504D46" w:rsidRDefault="00504D46" w:rsidP="00487311">
      <w:pPr>
        <w:pStyle w:val="GvdeMetni"/>
        <w:jc w:val="both"/>
      </w:pPr>
    </w:p>
    <w:p w14:paraId="2A9560D2" w14:textId="77777777" w:rsidR="00504D46" w:rsidRDefault="00504D46" w:rsidP="00487311">
      <w:pPr>
        <w:pStyle w:val="GvdeMetni"/>
        <w:jc w:val="both"/>
      </w:pPr>
    </w:p>
    <w:p w14:paraId="62EACB67" w14:textId="77777777" w:rsidR="00504D46" w:rsidRDefault="00504D46" w:rsidP="00487311">
      <w:pPr>
        <w:pStyle w:val="GvdeMetni"/>
        <w:jc w:val="both"/>
      </w:pPr>
    </w:p>
    <w:p w14:paraId="226AEF9C" w14:textId="77777777" w:rsidR="00504D46" w:rsidRDefault="00504D46" w:rsidP="00487311">
      <w:pPr>
        <w:pStyle w:val="GvdeMetni"/>
        <w:jc w:val="both"/>
      </w:pPr>
    </w:p>
    <w:p w14:paraId="1FD87D14" w14:textId="77777777" w:rsidR="00504D46" w:rsidRDefault="00504D46" w:rsidP="00487311">
      <w:pPr>
        <w:pStyle w:val="GvdeMetni"/>
        <w:jc w:val="both"/>
      </w:pPr>
    </w:p>
    <w:p w14:paraId="5C471CCC" w14:textId="77777777" w:rsidR="00504D46" w:rsidRDefault="00504D46" w:rsidP="00487311">
      <w:pPr>
        <w:pStyle w:val="GvdeMetni"/>
        <w:jc w:val="both"/>
      </w:pPr>
    </w:p>
    <w:p w14:paraId="469BB172" w14:textId="77777777" w:rsidR="00504D46" w:rsidRDefault="00504D46" w:rsidP="00487311">
      <w:pPr>
        <w:pStyle w:val="GvdeMetni"/>
        <w:jc w:val="both"/>
      </w:pPr>
    </w:p>
    <w:p w14:paraId="5669E626" w14:textId="77777777" w:rsidR="00504D46" w:rsidRDefault="00504D46" w:rsidP="00487311">
      <w:pPr>
        <w:pStyle w:val="GvdeMetni"/>
        <w:jc w:val="both"/>
      </w:pPr>
    </w:p>
    <w:p w14:paraId="3EF8D6DA" w14:textId="77777777" w:rsidR="00880647" w:rsidRDefault="00880647" w:rsidP="00880647">
      <w:pPr>
        <w:pStyle w:val="GvdeMetni"/>
        <w:jc w:val="both"/>
        <w:rPr>
          <w:b/>
          <w:bCs/>
        </w:rPr>
      </w:pPr>
      <w:r w:rsidRPr="00880647">
        <w:rPr>
          <w:b/>
          <w:bCs/>
        </w:rPr>
        <w:t>Sık Zehirlenmeye Neden Olan Asidik ve Bazik İlaçların Tüp Testleri ile Tanınması</w:t>
      </w:r>
    </w:p>
    <w:p w14:paraId="2C3192CD" w14:textId="77777777" w:rsidR="00880647" w:rsidRPr="00880647" w:rsidRDefault="00880647" w:rsidP="00880647">
      <w:pPr>
        <w:pStyle w:val="GvdeMetni"/>
        <w:jc w:val="both"/>
        <w:rPr>
          <w:b/>
          <w:bCs/>
        </w:rPr>
      </w:pPr>
    </w:p>
    <w:p w14:paraId="6B57444E" w14:textId="77777777" w:rsidR="00880647" w:rsidRPr="00880647" w:rsidRDefault="00880647" w:rsidP="00880647">
      <w:pPr>
        <w:pStyle w:val="GvdeMetni"/>
        <w:jc w:val="both"/>
        <w:rPr>
          <w:b/>
          <w:bCs/>
        </w:rPr>
      </w:pPr>
      <w:r w:rsidRPr="00880647">
        <w:rPr>
          <w:b/>
          <w:bCs/>
        </w:rPr>
        <w:t>A) Asidik İlaçlar</w:t>
      </w:r>
    </w:p>
    <w:p w14:paraId="284C1D65" w14:textId="77777777" w:rsidR="00880647" w:rsidRDefault="00880647" w:rsidP="00880647">
      <w:pPr>
        <w:pStyle w:val="GvdeMetni"/>
        <w:jc w:val="both"/>
      </w:pPr>
    </w:p>
    <w:p w14:paraId="0D39DC29" w14:textId="77777777" w:rsidR="00880647" w:rsidRPr="00075A17" w:rsidRDefault="00880647" w:rsidP="003B6449">
      <w:pPr>
        <w:pStyle w:val="GvdeMetni"/>
        <w:rPr>
          <w:b/>
          <w:bCs/>
        </w:rPr>
      </w:pPr>
      <w:r w:rsidRPr="00075A17">
        <w:rPr>
          <w:b/>
          <w:bCs/>
        </w:rPr>
        <w:t>1) Salisilatlar (Trinder testi)</w:t>
      </w:r>
    </w:p>
    <w:p w14:paraId="7B1F5F35" w14:textId="77777777" w:rsidR="00880647" w:rsidRDefault="00880647" w:rsidP="003B6449">
      <w:pPr>
        <w:pStyle w:val="GvdeMetni"/>
      </w:pPr>
      <w:r>
        <w:t>Uygulama: 1 mL örneğe 2–3 damla Trinder reaktifi eklenir.</w:t>
      </w:r>
    </w:p>
    <w:p w14:paraId="40815E11" w14:textId="77777777" w:rsidR="00880647" w:rsidRDefault="00880647" w:rsidP="003B6449">
      <w:pPr>
        <w:pStyle w:val="GvdeMetni"/>
      </w:pPr>
      <w:r>
        <w:t>Pozitif sonuç: Menekşe/viyole renk oluşması, salisilat veya salisilamid varlığını düşündürür.</w:t>
      </w:r>
    </w:p>
    <w:p w14:paraId="007221C5" w14:textId="5FB3F850" w:rsidR="00880647" w:rsidRDefault="00880647" w:rsidP="003B6449">
      <w:pPr>
        <w:pStyle w:val="GvdeMetni"/>
      </w:pPr>
      <w:r>
        <w:t>Not: Aspirin ve aminosalisilik asit terapötik dozlarda alındığında bile test pozitif olabilir.</w:t>
      </w:r>
    </w:p>
    <w:p w14:paraId="136F6D1F" w14:textId="0F121850" w:rsidR="00D2337F" w:rsidRDefault="00D2337F" w:rsidP="00880647">
      <w:pPr>
        <w:pStyle w:val="GvdeMetni"/>
        <w:jc w:val="both"/>
      </w:pPr>
      <w:r w:rsidRPr="00D2337F">
        <w:rPr>
          <w:noProof/>
        </w:rPr>
        <w:drawing>
          <wp:anchor distT="0" distB="0" distL="114300" distR="114300" simplePos="0" relativeHeight="251707392" behindDoc="0" locked="0" layoutInCell="1" allowOverlap="1" wp14:anchorId="7B97F390" wp14:editId="3565B078">
            <wp:simplePos x="0" y="0"/>
            <wp:positionH relativeFrom="margin">
              <wp:align>right</wp:align>
            </wp:positionH>
            <wp:positionV relativeFrom="paragraph">
              <wp:posOffset>302895</wp:posOffset>
            </wp:positionV>
            <wp:extent cx="5759450" cy="3085465"/>
            <wp:effectExtent l="0" t="0" r="0" b="635"/>
            <wp:wrapTopAndBottom/>
            <wp:docPr id="362418522" name="Resim 18" descr="metin, makbuz, yazı tipi,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18522" name="Resim 18" descr="metin, makbuz, yazı tipi, ekran görüntüsü içeren bir resim&#10;&#10;Yapay zeka tarafından oluşturulmuş içerik yanlış olabili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085465"/>
                    </a:xfrm>
                    <a:prstGeom prst="rect">
                      <a:avLst/>
                    </a:prstGeom>
                    <a:noFill/>
                    <a:ln>
                      <a:noFill/>
                    </a:ln>
                  </pic:spPr>
                </pic:pic>
              </a:graphicData>
            </a:graphic>
            <wp14:sizeRelV relativeFrom="margin">
              <wp14:pctHeight>0</wp14:pctHeight>
            </wp14:sizeRelV>
          </wp:anchor>
        </w:drawing>
      </w:r>
    </w:p>
    <w:p w14:paraId="0F67D4D9" w14:textId="0C1A1BB5" w:rsidR="00D2337F" w:rsidRPr="00D2337F" w:rsidRDefault="00D2337F" w:rsidP="00D2337F">
      <w:pPr>
        <w:pStyle w:val="GvdeMetni"/>
        <w:jc w:val="both"/>
      </w:pPr>
    </w:p>
    <w:p w14:paraId="14552647" w14:textId="77777777" w:rsidR="00D76F18" w:rsidRPr="00D76F18" w:rsidRDefault="00D76F18" w:rsidP="00D76F18">
      <w:pPr>
        <w:pStyle w:val="GvdeMetni"/>
        <w:jc w:val="both"/>
        <w:rPr>
          <w:b/>
          <w:bCs/>
        </w:rPr>
      </w:pPr>
      <w:r w:rsidRPr="00D76F18">
        <w:rPr>
          <w:b/>
          <w:bCs/>
        </w:rPr>
        <w:t>Salisilat (Trinder Testi – 540 nm)</w:t>
      </w:r>
    </w:p>
    <w:p w14:paraId="21AA4138" w14:textId="77777777" w:rsidR="00D76F18" w:rsidRPr="00D76F18" w:rsidRDefault="00D76F18" w:rsidP="00D76F18">
      <w:pPr>
        <w:pStyle w:val="GvdeMetni"/>
        <w:numPr>
          <w:ilvl w:val="0"/>
          <w:numId w:val="12"/>
        </w:numPr>
        <w:jc w:val="both"/>
      </w:pPr>
      <w:r w:rsidRPr="00D76F18">
        <w:t xml:space="preserve">Ayrı tüplerde </w:t>
      </w:r>
      <w:r w:rsidRPr="00D76F18">
        <w:rPr>
          <w:b/>
          <w:bCs/>
        </w:rPr>
        <w:t>kör</w:t>
      </w:r>
      <w:r w:rsidRPr="00D76F18">
        <w:t xml:space="preserve">, </w:t>
      </w:r>
      <w:r w:rsidRPr="00D76F18">
        <w:rPr>
          <w:b/>
          <w:bCs/>
        </w:rPr>
        <w:t>standartlar</w:t>
      </w:r>
      <w:r w:rsidRPr="00D76F18">
        <w:t xml:space="preserve"> ve </w:t>
      </w:r>
      <w:r w:rsidRPr="00D76F18">
        <w:rPr>
          <w:b/>
          <w:bCs/>
        </w:rPr>
        <w:t>bilinmeyen örnek</w:t>
      </w:r>
      <w:r w:rsidRPr="00D76F18">
        <w:t xml:space="preserve"> hazırlanır.</w:t>
      </w:r>
    </w:p>
    <w:p w14:paraId="1B94C981" w14:textId="77777777" w:rsidR="00D76F18" w:rsidRPr="00D76F18" w:rsidRDefault="00D76F18" w:rsidP="00D76F18">
      <w:pPr>
        <w:pStyle w:val="GvdeMetni"/>
        <w:numPr>
          <w:ilvl w:val="0"/>
          <w:numId w:val="12"/>
        </w:numPr>
        <w:jc w:val="both"/>
      </w:pPr>
      <w:r w:rsidRPr="00D76F18">
        <w:rPr>
          <w:b/>
          <w:bCs/>
        </w:rPr>
        <w:t>Bilinmeyen/standart tüpüne:</w:t>
      </w:r>
    </w:p>
    <w:p w14:paraId="36030A45" w14:textId="77777777" w:rsidR="00D76F18" w:rsidRPr="00D76F18" w:rsidRDefault="00D76F18" w:rsidP="00D76F18">
      <w:pPr>
        <w:pStyle w:val="GvdeMetni"/>
        <w:numPr>
          <w:ilvl w:val="1"/>
          <w:numId w:val="12"/>
        </w:numPr>
        <w:jc w:val="both"/>
      </w:pPr>
      <w:r w:rsidRPr="00D76F18">
        <w:t>0,5 mL örnek (veya standart)</w:t>
      </w:r>
    </w:p>
    <w:p w14:paraId="2DADB995" w14:textId="77777777" w:rsidR="00D76F18" w:rsidRPr="00D76F18" w:rsidRDefault="00D76F18" w:rsidP="00D76F18">
      <w:pPr>
        <w:pStyle w:val="GvdeMetni"/>
        <w:numPr>
          <w:ilvl w:val="1"/>
          <w:numId w:val="12"/>
        </w:numPr>
        <w:jc w:val="both"/>
      </w:pPr>
      <w:r w:rsidRPr="00D76F18">
        <w:t>2,0 mL distile su eklenir.</w:t>
      </w:r>
    </w:p>
    <w:p w14:paraId="7CB54BA9" w14:textId="77777777" w:rsidR="00D76F18" w:rsidRPr="00D76F18" w:rsidRDefault="00D76F18" w:rsidP="00D76F18">
      <w:pPr>
        <w:pStyle w:val="GvdeMetni"/>
        <w:numPr>
          <w:ilvl w:val="0"/>
          <w:numId w:val="12"/>
        </w:numPr>
        <w:jc w:val="both"/>
      </w:pPr>
      <w:r w:rsidRPr="00D76F18">
        <w:t xml:space="preserve">Üzerine </w:t>
      </w:r>
      <w:r w:rsidRPr="00D76F18">
        <w:rPr>
          <w:b/>
          <w:bCs/>
        </w:rPr>
        <w:t>0,5 mL Trinder reaktifi</w:t>
      </w:r>
      <w:r w:rsidRPr="00D76F18">
        <w:t xml:space="preserve"> eklenir ve karıştırılır.</w:t>
      </w:r>
    </w:p>
    <w:p w14:paraId="52249DFC" w14:textId="77777777" w:rsidR="00D76F18" w:rsidRPr="00D76F18" w:rsidRDefault="00D76F18" w:rsidP="00D76F18">
      <w:pPr>
        <w:pStyle w:val="GvdeMetni"/>
        <w:numPr>
          <w:ilvl w:val="0"/>
          <w:numId w:val="12"/>
        </w:numPr>
        <w:jc w:val="both"/>
      </w:pPr>
      <w:r w:rsidRPr="00D76F18">
        <w:rPr>
          <w:b/>
          <w:bCs/>
        </w:rPr>
        <w:t>Kör tüpü:</w:t>
      </w:r>
      <w:r w:rsidRPr="00D76F18">
        <w:t xml:space="preserve"> 0,5 mL distile su + 2,0 mL distile su + 0,5 mL Trinder reaktifi (aynı işlem).</w:t>
      </w:r>
    </w:p>
    <w:p w14:paraId="61CDB5AB" w14:textId="77777777" w:rsidR="00D76F18" w:rsidRPr="00D76F18" w:rsidRDefault="00D76F18" w:rsidP="00D76F18">
      <w:pPr>
        <w:pStyle w:val="GvdeMetni"/>
        <w:numPr>
          <w:ilvl w:val="0"/>
          <w:numId w:val="12"/>
        </w:numPr>
        <w:jc w:val="both"/>
      </w:pPr>
      <w:r w:rsidRPr="00D76F18">
        <w:t xml:space="preserve">Spektrofotometrede </w:t>
      </w:r>
      <w:r w:rsidRPr="00D76F18">
        <w:rPr>
          <w:b/>
          <w:bCs/>
        </w:rPr>
        <w:t>önce kör ile sıfırlama</w:t>
      </w:r>
      <w:r w:rsidRPr="00D76F18">
        <w:t xml:space="preserve"> yapılır.</w:t>
      </w:r>
    </w:p>
    <w:p w14:paraId="2BBF5B41" w14:textId="77777777" w:rsidR="00D76F18" w:rsidRPr="00D76F18" w:rsidRDefault="00D76F18" w:rsidP="00D76F18">
      <w:pPr>
        <w:pStyle w:val="GvdeMetni"/>
        <w:numPr>
          <w:ilvl w:val="0"/>
          <w:numId w:val="12"/>
        </w:numPr>
        <w:jc w:val="both"/>
      </w:pPr>
      <w:r w:rsidRPr="00D76F18">
        <w:rPr>
          <w:b/>
          <w:bCs/>
        </w:rPr>
        <w:t>540 nm’de absorbans</w:t>
      </w:r>
      <w:r w:rsidRPr="00D76F18">
        <w:t xml:space="preserve"> okunur (renk yaklaşık </w:t>
      </w:r>
      <w:r w:rsidRPr="00D76F18">
        <w:rPr>
          <w:b/>
          <w:bCs/>
        </w:rPr>
        <w:t>1 saat</w:t>
      </w:r>
      <w:r w:rsidRPr="00D76F18">
        <w:t xml:space="preserve"> stabildir).</w:t>
      </w:r>
    </w:p>
    <w:p w14:paraId="671CA94C" w14:textId="77777777" w:rsidR="00D76F18" w:rsidRPr="00D76F18" w:rsidRDefault="00D76F18" w:rsidP="00D76F18">
      <w:pPr>
        <w:pStyle w:val="GvdeMetni"/>
        <w:numPr>
          <w:ilvl w:val="0"/>
          <w:numId w:val="12"/>
        </w:numPr>
        <w:jc w:val="both"/>
      </w:pPr>
      <w:r w:rsidRPr="00D76F18">
        <w:t xml:space="preserve">Standartların absorbansları ile </w:t>
      </w:r>
      <w:r w:rsidRPr="00D76F18">
        <w:rPr>
          <w:b/>
          <w:bCs/>
        </w:rPr>
        <w:t>kalibrasyon doğrusu</w:t>
      </w:r>
      <w:r w:rsidRPr="00D76F18">
        <w:t xml:space="preserve"> çizilir (X: konsantrasyon mg/dL, Y: absorbans).</w:t>
      </w:r>
    </w:p>
    <w:p w14:paraId="5197BCE6" w14:textId="77777777" w:rsidR="00D76F18" w:rsidRPr="00D76F18" w:rsidRDefault="00D76F18" w:rsidP="00D76F18">
      <w:pPr>
        <w:pStyle w:val="GvdeMetni"/>
        <w:numPr>
          <w:ilvl w:val="0"/>
          <w:numId w:val="12"/>
        </w:numPr>
        <w:jc w:val="both"/>
      </w:pPr>
      <w:r w:rsidRPr="00D76F18">
        <w:t xml:space="preserve">Bilinmeyen örneğin konsantrasyonu </w:t>
      </w:r>
      <w:r w:rsidRPr="00D76F18">
        <w:rPr>
          <w:b/>
          <w:bCs/>
        </w:rPr>
        <w:t>grafikten</w:t>
      </w:r>
      <w:r w:rsidRPr="00D76F18">
        <w:t xml:space="preserve"> veya denklemle hesaplanır:</w:t>
      </w:r>
    </w:p>
    <w:p w14:paraId="453699CC" w14:textId="71300969" w:rsidR="00D76F18" w:rsidRPr="00D76F18" w:rsidRDefault="00D76F18" w:rsidP="00D76F18">
      <w:pPr>
        <w:pStyle w:val="GvdeMetni"/>
        <w:numPr>
          <w:ilvl w:val="1"/>
          <w:numId w:val="11"/>
        </w:numPr>
        <w:jc w:val="both"/>
      </w:pPr>
      <m:oMath>
        <m:r>
          <w:rPr>
            <w:rFonts w:ascii="Cambria Math" w:hAnsi="Cambria Math"/>
          </w:rPr>
          <m:t>A=a⋅C+b</m:t>
        </m:r>
      </m:oMath>
    </w:p>
    <w:p w14:paraId="5AB70392" w14:textId="490954EB" w:rsidR="00D76F18" w:rsidRPr="00D76F18" w:rsidRDefault="00D76F18" w:rsidP="00D76F18">
      <w:pPr>
        <w:pStyle w:val="GvdeMetni"/>
        <w:numPr>
          <w:ilvl w:val="1"/>
          <w:numId w:val="11"/>
        </w:numPr>
        <w:jc w:val="both"/>
      </w:pPr>
      <m:oMath>
        <m:r>
          <w:rPr>
            <w:rFonts w:ascii="Cambria Math" w:hAnsi="Cambria Math"/>
          </w:rPr>
          <m:t>C=(</m:t>
        </m:r>
        <m:sSub>
          <m:sSubPr>
            <m:ctrlPr>
              <w:rPr>
                <w:rFonts w:ascii="Cambria Math" w:hAnsi="Cambria Math"/>
              </w:rPr>
            </m:ctrlPr>
          </m:sSubPr>
          <m:e>
            <m:r>
              <w:rPr>
                <w:rFonts w:ascii="Cambria Math" w:hAnsi="Cambria Math"/>
              </w:rPr>
              <m:t>A</m:t>
            </m:r>
          </m:e>
          <m:sub>
            <m:acc>
              <m:accPr>
                <m:chr m:val="̈"/>
                <m:ctrlPr>
                  <w:rPr>
                    <w:rFonts w:ascii="Cambria Math" w:hAnsi="Cambria Math"/>
                  </w:rPr>
                </m:ctrlPr>
              </m:accPr>
              <m:e>
                <m:r>
                  <w:rPr>
                    <w:rFonts w:ascii="Cambria Math" w:hAnsi="Cambria Math"/>
                  </w:rPr>
                  <m:t>o</m:t>
                </m:r>
              </m:e>
            </m:acc>
            <m:r>
              <w:rPr>
                <w:rFonts w:ascii="Cambria Math" w:hAnsi="Cambria Math"/>
              </w:rPr>
              <m:t>r</m:t>
            </m:r>
          </m:sub>
        </m:sSub>
        <m:r>
          <w:rPr>
            <w:rFonts w:ascii="Cambria Math" w:hAnsi="Cambria Math"/>
          </w:rPr>
          <m:t>-b)</m:t>
        </m:r>
        <m:r>
          <m:rPr>
            <m:sty m:val="p"/>
          </m:rPr>
          <w:rPr>
            <w:rFonts w:ascii="Cambria Math" w:hAnsi="Cambria Math"/>
          </w:rPr>
          <m:t>/</m:t>
        </m:r>
        <m:r>
          <w:rPr>
            <w:rFonts w:ascii="Cambria Math" w:hAnsi="Cambria Math"/>
          </w:rPr>
          <m:t>a</m:t>
        </m:r>
      </m:oMath>
    </w:p>
    <w:p w14:paraId="425DCB91" w14:textId="77777777" w:rsidR="00D2337F" w:rsidRDefault="00D2337F" w:rsidP="00880647">
      <w:pPr>
        <w:pStyle w:val="GvdeMetni"/>
        <w:jc w:val="both"/>
      </w:pPr>
    </w:p>
    <w:p w14:paraId="79808DE8" w14:textId="77777777" w:rsidR="00880647" w:rsidRPr="00075A17" w:rsidRDefault="00880647" w:rsidP="00880647">
      <w:pPr>
        <w:pStyle w:val="GvdeMetni"/>
        <w:jc w:val="both"/>
        <w:rPr>
          <w:b/>
          <w:bCs/>
        </w:rPr>
      </w:pPr>
      <w:r w:rsidRPr="00075A17">
        <w:rPr>
          <w:b/>
          <w:bCs/>
        </w:rPr>
        <w:t>2) Parasetamol (Krezol–amonyak testi)</w:t>
      </w:r>
    </w:p>
    <w:p w14:paraId="272DD350" w14:textId="558B8FF2" w:rsidR="00880647" w:rsidRDefault="00880647" w:rsidP="00880647">
      <w:pPr>
        <w:pStyle w:val="GvdeMetni"/>
        <w:jc w:val="both"/>
      </w:pPr>
      <w:r>
        <w:t>Test çok duyarlıdır; terapötik düzeylerde de pozitif olabilir. Yüksek doz alım sonrası ilacın kendisi ve konjugat metabolitleri birkaç gün boyunca saptanabilir. Pozitiflik durumunda tanı için plazma parasetamol düzeyi ile doğrulama önerilir.</w:t>
      </w:r>
    </w:p>
    <w:p w14:paraId="671A9022" w14:textId="77777777" w:rsidR="00574796" w:rsidRDefault="00574796" w:rsidP="00574796">
      <w:pPr>
        <w:pStyle w:val="GvdeMetni"/>
        <w:jc w:val="both"/>
      </w:pPr>
      <w:r>
        <w:t>Ayrı tüplerde kör, standart (varsa) ve bilinmeyen örnek hazırlanır.</w:t>
      </w:r>
    </w:p>
    <w:p w14:paraId="04821798" w14:textId="77777777" w:rsidR="0070787B" w:rsidRDefault="0070787B" w:rsidP="00574796">
      <w:pPr>
        <w:pStyle w:val="GvdeMetni"/>
        <w:jc w:val="both"/>
      </w:pPr>
    </w:p>
    <w:p w14:paraId="01184557" w14:textId="77D0DF71" w:rsidR="00574796" w:rsidRDefault="00140F49" w:rsidP="00574796">
      <w:pPr>
        <w:pStyle w:val="GvdeMetni"/>
        <w:jc w:val="both"/>
      </w:pPr>
      <w:r w:rsidRPr="00140F49">
        <w:rPr>
          <w:noProof/>
        </w:rPr>
        <w:lastRenderedPageBreak/>
        <w:drawing>
          <wp:anchor distT="0" distB="0" distL="114300" distR="114300" simplePos="0" relativeHeight="251709440" behindDoc="0" locked="0" layoutInCell="1" allowOverlap="1" wp14:anchorId="05CDDB73" wp14:editId="0E5E6832">
            <wp:simplePos x="0" y="0"/>
            <wp:positionH relativeFrom="margin">
              <wp:posOffset>297180</wp:posOffset>
            </wp:positionH>
            <wp:positionV relativeFrom="paragraph">
              <wp:posOffset>176530</wp:posOffset>
            </wp:positionV>
            <wp:extent cx="4919980" cy="2794000"/>
            <wp:effectExtent l="0" t="0" r="0" b="6350"/>
            <wp:wrapTopAndBottom/>
            <wp:docPr id="251056512" name="Resim 19" descr="metin, yazı tipi, ekran görüntüsü,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56512" name="Resim 19" descr="metin, yazı tipi, ekran görüntüsü, sayı, numara içeren bir resim&#10;&#10;Yapay zeka tarafından oluşturulmuş içerik yanlış olabili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19980" cy="279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8848C" w14:textId="496D0E78" w:rsidR="00140F49" w:rsidRPr="00140F49" w:rsidRDefault="00140F49" w:rsidP="00140F49">
      <w:pPr>
        <w:pStyle w:val="GvdeMetni"/>
        <w:jc w:val="both"/>
      </w:pPr>
    </w:p>
    <w:p w14:paraId="296ABDD4" w14:textId="77777777" w:rsidR="00140F49" w:rsidRDefault="00140F49" w:rsidP="00574796">
      <w:pPr>
        <w:pStyle w:val="GvdeMetni"/>
        <w:jc w:val="both"/>
      </w:pPr>
    </w:p>
    <w:p w14:paraId="1B28DE0B" w14:textId="77777777" w:rsidR="00574796" w:rsidRDefault="00574796" w:rsidP="00CE30EA">
      <w:pPr>
        <w:pStyle w:val="GvdeMetni"/>
        <w:numPr>
          <w:ilvl w:val="0"/>
          <w:numId w:val="13"/>
        </w:numPr>
        <w:jc w:val="both"/>
      </w:pPr>
      <w:r>
        <w:t>Tüpe: 0,5 mL örnek + 0,5 mL HCl eklenir.</w:t>
      </w:r>
    </w:p>
    <w:p w14:paraId="34450293" w14:textId="77777777" w:rsidR="00574796" w:rsidRDefault="00574796" w:rsidP="00CE30EA">
      <w:pPr>
        <w:pStyle w:val="GvdeMetni"/>
        <w:numPr>
          <w:ilvl w:val="0"/>
          <w:numId w:val="13"/>
        </w:numPr>
        <w:jc w:val="both"/>
      </w:pPr>
      <w:r>
        <w:t>Karışım 100°C’de 10 dakika ısıtılır (hidroliz).</w:t>
      </w:r>
    </w:p>
    <w:p w14:paraId="1FBAB0A8" w14:textId="77777777" w:rsidR="00574796" w:rsidRDefault="00574796" w:rsidP="00CE30EA">
      <w:pPr>
        <w:pStyle w:val="GvdeMetni"/>
        <w:numPr>
          <w:ilvl w:val="0"/>
          <w:numId w:val="13"/>
        </w:numPr>
        <w:jc w:val="both"/>
      </w:pPr>
      <w:r>
        <w:t>Tüp soğutulur (oda sıcaklığına getirilir).</w:t>
      </w:r>
    </w:p>
    <w:p w14:paraId="28DCCC67" w14:textId="77777777" w:rsidR="00574796" w:rsidRDefault="00574796" w:rsidP="00CE30EA">
      <w:pPr>
        <w:pStyle w:val="GvdeMetni"/>
        <w:numPr>
          <w:ilvl w:val="0"/>
          <w:numId w:val="13"/>
        </w:numPr>
        <w:jc w:val="both"/>
      </w:pPr>
      <w:r>
        <w:t>Sırayla eklenir:</w:t>
      </w:r>
    </w:p>
    <w:p w14:paraId="71795A2D" w14:textId="77777777" w:rsidR="00574796" w:rsidRDefault="00574796" w:rsidP="00CE30EA">
      <w:pPr>
        <w:pStyle w:val="GvdeMetni"/>
        <w:numPr>
          <w:ilvl w:val="0"/>
          <w:numId w:val="13"/>
        </w:numPr>
        <w:jc w:val="both"/>
      </w:pPr>
      <w:r>
        <w:t>10 mL su</w:t>
      </w:r>
    </w:p>
    <w:p w14:paraId="30AF776C" w14:textId="77777777" w:rsidR="00574796" w:rsidRDefault="00574796" w:rsidP="00CE30EA">
      <w:pPr>
        <w:pStyle w:val="GvdeMetni"/>
        <w:numPr>
          <w:ilvl w:val="0"/>
          <w:numId w:val="13"/>
        </w:numPr>
        <w:jc w:val="both"/>
      </w:pPr>
      <w:r>
        <w:t>1 mL sulu o-krezol çözeltisi</w:t>
      </w:r>
    </w:p>
    <w:p w14:paraId="50BF8804" w14:textId="77777777" w:rsidR="00574796" w:rsidRDefault="00574796" w:rsidP="00CE30EA">
      <w:pPr>
        <w:pStyle w:val="GvdeMetni"/>
        <w:numPr>
          <w:ilvl w:val="0"/>
          <w:numId w:val="13"/>
        </w:numPr>
        <w:jc w:val="both"/>
      </w:pPr>
      <w:r>
        <w:t>4 mL 4 M amonyum hidroksit (NH₄OH)</w:t>
      </w:r>
    </w:p>
    <w:p w14:paraId="32DC892C" w14:textId="77777777" w:rsidR="00574796" w:rsidRDefault="00574796" w:rsidP="00CE30EA">
      <w:pPr>
        <w:pStyle w:val="GvdeMetni"/>
        <w:numPr>
          <w:ilvl w:val="0"/>
          <w:numId w:val="13"/>
        </w:numPr>
        <w:jc w:val="both"/>
      </w:pPr>
      <w:r>
        <w:t>Karıştırılır ve renk oluşumu gözlenir.</w:t>
      </w:r>
    </w:p>
    <w:p w14:paraId="477ADA6D" w14:textId="77777777" w:rsidR="00574796" w:rsidRDefault="00574796" w:rsidP="00CE30EA">
      <w:pPr>
        <w:pStyle w:val="GvdeMetni"/>
        <w:numPr>
          <w:ilvl w:val="0"/>
          <w:numId w:val="13"/>
        </w:numPr>
        <w:jc w:val="both"/>
      </w:pPr>
      <w:r>
        <w:t>Mavi renk → parasetamol varlığı lehine değerlendirilir.</w:t>
      </w:r>
    </w:p>
    <w:p w14:paraId="3518A3C5" w14:textId="77777777" w:rsidR="00CE30EA" w:rsidRDefault="00CE30EA" w:rsidP="00CE30EA">
      <w:pPr>
        <w:pStyle w:val="GvdeMetni"/>
        <w:jc w:val="both"/>
      </w:pPr>
    </w:p>
    <w:p w14:paraId="2410663A" w14:textId="3FE85094" w:rsidR="00880647" w:rsidRDefault="00574796" w:rsidP="00574796">
      <w:pPr>
        <w:pStyle w:val="GvdeMetni"/>
        <w:jc w:val="both"/>
      </w:pPr>
      <w:r>
        <w:t>Pozitiflik durumunda sonuç nicel analizle doğrulanmalıdır (örn. plazma parasetamol düzeyi / spektrofotometri / HPLC).</w:t>
      </w:r>
    </w:p>
    <w:p w14:paraId="4A88679A" w14:textId="504AFEBD" w:rsidR="005D636B" w:rsidRDefault="00802DF9" w:rsidP="005D636B">
      <w:pPr>
        <w:pStyle w:val="GvdeMetni"/>
        <w:jc w:val="both"/>
      </w:pPr>
      <w:r w:rsidRPr="003B534D">
        <w:rPr>
          <w:i/>
          <w:iCs/>
        </w:rPr>
        <w:t xml:space="preserve"> </w:t>
      </w:r>
      <w:r w:rsidRPr="003B534D">
        <w:rPr>
          <w:b/>
          <w:bCs/>
          <w:i/>
          <w:iCs/>
        </w:rPr>
        <w:t>Krezol</w:t>
      </w:r>
      <w:r w:rsidR="00D57478" w:rsidRPr="003B534D">
        <w:rPr>
          <w:b/>
          <w:bCs/>
          <w:i/>
          <w:iCs/>
        </w:rPr>
        <w:t xml:space="preserve"> Çözeltisinin Hazırlaması:</w:t>
      </w:r>
      <w:r w:rsidR="005D636B">
        <w:rPr>
          <w:b/>
          <w:bCs/>
        </w:rPr>
        <w:t xml:space="preserve"> </w:t>
      </w:r>
      <w:r w:rsidR="005D636B">
        <w:t>%1 (v/v) o-krezol çözeltisi (1 L için)</w:t>
      </w:r>
    </w:p>
    <w:p w14:paraId="5EFCE384" w14:textId="32FCFE95" w:rsidR="005D636B" w:rsidRDefault="005D636B" w:rsidP="005D636B">
      <w:pPr>
        <w:pStyle w:val="GvdeMetni"/>
        <w:jc w:val="both"/>
      </w:pPr>
      <w:r>
        <w:t>Çeker ocakta 1 L’lik cam balonjoje/şişe kullanı</w:t>
      </w:r>
      <w:r w:rsidR="00C830DE">
        <w:t>lır</w:t>
      </w:r>
      <w:r>
        <w:t>.</w:t>
      </w:r>
    </w:p>
    <w:p w14:paraId="77104760" w14:textId="512A04FF" w:rsidR="005D636B" w:rsidRDefault="005D636B" w:rsidP="005D636B">
      <w:pPr>
        <w:pStyle w:val="GvdeMetni"/>
        <w:jc w:val="both"/>
      </w:pPr>
      <w:r>
        <w:t>Balonjojeye yaklaşık 800 mL deiyonize su kon</w:t>
      </w:r>
      <w:r w:rsidR="00C830DE">
        <w:t>ulur</w:t>
      </w:r>
      <w:r>
        <w:t>.</w:t>
      </w:r>
    </w:p>
    <w:p w14:paraId="7C71D7D2" w14:textId="2C46835D" w:rsidR="005D636B" w:rsidRDefault="005D636B" w:rsidP="005D636B">
      <w:pPr>
        <w:pStyle w:val="GvdeMetni"/>
        <w:jc w:val="both"/>
      </w:pPr>
      <w:r>
        <w:t>Üzerine 10 mL o-krezol ekle</w:t>
      </w:r>
      <w:r w:rsidR="00C830DE">
        <w:t>nir</w:t>
      </w:r>
      <w:r>
        <w:t>.</w:t>
      </w:r>
    </w:p>
    <w:p w14:paraId="3EFA7186" w14:textId="28AEE266" w:rsidR="005D636B" w:rsidRDefault="005D636B" w:rsidP="005D636B">
      <w:pPr>
        <w:pStyle w:val="GvdeMetni"/>
        <w:jc w:val="both"/>
      </w:pPr>
      <w:r>
        <w:t>Deiyonize su ile 1 L’ye tamamla</w:t>
      </w:r>
      <w:r w:rsidR="00C830DE">
        <w:t>nır</w:t>
      </w:r>
      <w:r>
        <w:t xml:space="preserve"> ve iyice karıştırı</w:t>
      </w:r>
      <w:r w:rsidR="00C830DE">
        <w:t>lır</w:t>
      </w:r>
      <w:r>
        <w:t>.</w:t>
      </w:r>
    </w:p>
    <w:p w14:paraId="7E0B2B0C" w14:textId="37612512" w:rsidR="005D636B" w:rsidRDefault="005D636B" w:rsidP="005D636B">
      <w:pPr>
        <w:pStyle w:val="GvdeMetni"/>
        <w:jc w:val="both"/>
      </w:pPr>
      <w:r>
        <w:t>İlk kullanımdan önce 24 saat bekleti</w:t>
      </w:r>
      <w:r w:rsidR="00C830DE">
        <w:t>lir</w:t>
      </w:r>
      <w:r>
        <w:t>.</w:t>
      </w:r>
    </w:p>
    <w:p w14:paraId="3A3B532B" w14:textId="7384DB67" w:rsidR="00802DF9" w:rsidRDefault="005D636B" w:rsidP="00574796">
      <w:pPr>
        <w:pStyle w:val="GvdeMetni"/>
        <w:jc w:val="both"/>
      </w:pPr>
      <w:r>
        <w:t>Cam şişede, oda sıcaklığında saklan</w:t>
      </w:r>
      <w:r w:rsidR="00C830DE">
        <w:t>ır.</w:t>
      </w:r>
    </w:p>
    <w:p w14:paraId="3FFE4BF6" w14:textId="77777777" w:rsidR="00802DF9" w:rsidRDefault="00802DF9" w:rsidP="00574796">
      <w:pPr>
        <w:pStyle w:val="GvdeMetni"/>
        <w:jc w:val="both"/>
      </w:pPr>
    </w:p>
    <w:p w14:paraId="242E8175" w14:textId="77777777" w:rsidR="00880647" w:rsidRPr="00802DF9" w:rsidRDefault="00880647" w:rsidP="00880647">
      <w:pPr>
        <w:pStyle w:val="GvdeMetni"/>
        <w:jc w:val="both"/>
        <w:rPr>
          <w:b/>
          <w:bCs/>
        </w:rPr>
      </w:pPr>
      <w:r w:rsidRPr="00802DF9">
        <w:rPr>
          <w:b/>
          <w:bCs/>
        </w:rPr>
        <w:t>B) Bazik İlaçlar</w:t>
      </w:r>
    </w:p>
    <w:p w14:paraId="27293CCC" w14:textId="77777777" w:rsidR="00880647" w:rsidRDefault="00880647" w:rsidP="00880647">
      <w:pPr>
        <w:pStyle w:val="GvdeMetni"/>
        <w:jc w:val="both"/>
      </w:pPr>
    </w:p>
    <w:p w14:paraId="740E2909" w14:textId="77777777" w:rsidR="00880647" w:rsidRDefault="00880647" w:rsidP="00880647">
      <w:pPr>
        <w:pStyle w:val="GvdeMetni"/>
        <w:jc w:val="both"/>
      </w:pPr>
      <w:r>
        <w:t>Bazik ilaçlara ait tüp testlerinde renk değişimi çok hızlı (anlık) gelişebileceğinden, reaktif eklenir eklenmez oluşan renk değişimi dikkatle izlenmelidir.</w:t>
      </w:r>
    </w:p>
    <w:p w14:paraId="38DD9180" w14:textId="77777777" w:rsidR="00880647" w:rsidRPr="00802DF9" w:rsidRDefault="00880647" w:rsidP="00880647">
      <w:pPr>
        <w:pStyle w:val="GvdeMetni"/>
        <w:jc w:val="both"/>
        <w:rPr>
          <w:b/>
          <w:bCs/>
        </w:rPr>
      </w:pPr>
      <w:r w:rsidRPr="00802DF9">
        <w:rPr>
          <w:b/>
          <w:bCs/>
        </w:rPr>
        <w:t>1) İmipramin (Forrest testi)</w:t>
      </w:r>
    </w:p>
    <w:p w14:paraId="1F91C08C" w14:textId="77777777" w:rsidR="00880647" w:rsidRDefault="00880647" w:rsidP="00880647">
      <w:pPr>
        <w:pStyle w:val="GvdeMetni"/>
        <w:jc w:val="both"/>
      </w:pPr>
      <w:r>
        <w:t>Uygulama: 0,5 mL örneğe 0,5 mL Forrest reaktifi eklenir.</w:t>
      </w:r>
    </w:p>
    <w:p w14:paraId="1D6A679C" w14:textId="77777777" w:rsidR="00880647" w:rsidRDefault="00880647" w:rsidP="00880647">
      <w:pPr>
        <w:pStyle w:val="GvdeMetni"/>
        <w:jc w:val="both"/>
      </w:pPr>
      <w:r>
        <w:t>Pozitif sonuç: İdrardaki ilaç miktarına bağlı olarak yeşil-sarıdan koyu yeşil/maviye hızla değişen renkler görülebilir.</w:t>
      </w:r>
    </w:p>
    <w:p w14:paraId="558A1AA2" w14:textId="77777777" w:rsidR="00880647" w:rsidRDefault="00880647" w:rsidP="00880647">
      <w:pPr>
        <w:pStyle w:val="GvdeMetni"/>
        <w:jc w:val="both"/>
      </w:pPr>
      <w:r>
        <w:t>Not: Fenotiyazinler de benzer şekilde pozitiflik verebilir.</w:t>
      </w:r>
    </w:p>
    <w:p w14:paraId="61BB7D45" w14:textId="5ED84307" w:rsidR="008C5B55" w:rsidRPr="003B534D" w:rsidRDefault="008C5B55" w:rsidP="00880647">
      <w:pPr>
        <w:pStyle w:val="GvdeMetni"/>
        <w:jc w:val="both"/>
        <w:rPr>
          <w:b/>
          <w:bCs/>
          <w:i/>
          <w:iCs/>
        </w:rPr>
      </w:pPr>
      <w:r w:rsidRPr="003B534D">
        <w:rPr>
          <w:b/>
          <w:bCs/>
          <w:i/>
          <w:iCs/>
        </w:rPr>
        <w:t xml:space="preserve">Forrest </w:t>
      </w:r>
      <w:r w:rsidR="00395408" w:rsidRPr="003B534D">
        <w:rPr>
          <w:b/>
          <w:bCs/>
          <w:i/>
          <w:iCs/>
        </w:rPr>
        <w:t>R</w:t>
      </w:r>
      <w:r w:rsidRPr="003B534D">
        <w:rPr>
          <w:b/>
          <w:bCs/>
          <w:i/>
          <w:iCs/>
        </w:rPr>
        <w:t>eaktifi</w:t>
      </w:r>
      <w:r w:rsidR="00395408" w:rsidRPr="003B534D">
        <w:rPr>
          <w:b/>
          <w:bCs/>
          <w:i/>
          <w:iCs/>
        </w:rPr>
        <w:t>nin</w:t>
      </w:r>
      <w:r w:rsidRPr="003B534D">
        <w:rPr>
          <w:b/>
          <w:bCs/>
          <w:i/>
          <w:iCs/>
        </w:rPr>
        <w:t xml:space="preserve"> Hazırlanması:</w:t>
      </w:r>
    </w:p>
    <w:p w14:paraId="2394317A" w14:textId="77777777" w:rsidR="00395408" w:rsidRDefault="00395408" w:rsidP="00395408">
      <w:pPr>
        <w:pStyle w:val="GvdeMetni"/>
        <w:numPr>
          <w:ilvl w:val="0"/>
          <w:numId w:val="15"/>
        </w:numPr>
        <w:jc w:val="both"/>
      </w:pPr>
      <w:r>
        <w:t>%0,2 (w/v) potasyum dikromat (K₂Cr₂O₇) çözeltisi</w:t>
      </w:r>
    </w:p>
    <w:p w14:paraId="78358940" w14:textId="77777777" w:rsidR="00395408" w:rsidRDefault="00395408" w:rsidP="00395408">
      <w:pPr>
        <w:pStyle w:val="GvdeMetni"/>
        <w:numPr>
          <w:ilvl w:val="0"/>
          <w:numId w:val="15"/>
        </w:numPr>
        <w:jc w:val="both"/>
      </w:pPr>
      <w:r>
        <w:lastRenderedPageBreak/>
        <w:t>%30 (v/v) sülfürik asit (H₂SO₄) çözeltisi</w:t>
      </w:r>
    </w:p>
    <w:p w14:paraId="67EE2DB9" w14:textId="77777777" w:rsidR="00395408" w:rsidRDefault="00395408" w:rsidP="00395408">
      <w:pPr>
        <w:pStyle w:val="GvdeMetni"/>
        <w:numPr>
          <w:ilvl w:val="0"/>
          <w:numId w:val="15"/>
        </w:numPr>
        <w:jc w:val="both"/>
      </w:pPr>
      <w:r>
        <w:t>%20 (v/v) perklorik asit (HClO₄) çözeltisi</w:t>
      </w:r>
    </w:p>
    <w:p w14:paraId="0A685488" w14:textId="038D71E3" w:rsidR="008E5E9B" w:rsidRDefault="00395408" w:rsidP="00395408">
      <w:pPr>
        <w:pStyle w:val="GvdeMetni"/>
        <w:numPr>
          <w:ilvl w:val="0"/>
          <w:numId w:val="15"/>
        </w:numPr>
        <w:jc w:val="both"/>
      </w:pPr>
      <w:r>
        <w:t>%50 (v/v) nitrik asit (HNO₃) çözeltisi</w:t>
      </w:r>
    </w:p>
    <w:p w14:paraId="4FD8FC53" w14:textId="1F17B244" w:rsidR="00395408" w:rsidRDefault="00395408" w:rsidP="00395408">
      <w:pPr>
        <w:pStyle w:val="GvdeMetni"/>
        <w:jc w:val="both"/>
      </w:pPr>
      <w:r w:rsidRPr="00395408">
        <w:t>(%50 v/v HNO₃ = 50 mL HNO₃ + su ile 100 mL’ye tamamlama). Asitlerin derişimleri (örn. %65 HNO₃, %95–98 H₂SO₄, %70–72 HClO₄)</w:t>
      </w:r>
    </w:p>
    <w:p w14:paraId="7112F49B" w14:textId="3EDA4B2C" w:rsidR="00395408" w:rsidRDefault="00395408" w:rsidP="00395408">
      <w:pPr>
        <w:pStyle w:val="GvdeMetni"/>
        <w:jc w:val="both"/>
      </w:pPr>
      <w:r>
        <w:t>Tüm çözeltiler eşit hacimlerde balon joje içersine alınır ve amber şişeye aktarılır.</w:t>
      </w:r>
    </w:p>
    <w:p w14:paraId="45A71663" w14:textId="77777777" w:rsidR="00373639" w:rsidRDefault="00373639" w:rsidP="00880647">
      <w:pPr>
        <w:pStyle w:val="GvdeMetni"/>
        <w:jc w:val="both"/>
        <w:rPr>
          <w:b/>
          <w:bCs/>
        </w:rPr>
      </w:pPr>
    </w:p>
    <w:p w14:paraId="024E9C16" w14:textId="14C0DB3B" w:rsidR="00880647" w:rsidRPr="00492BFB" w:rsidRDefault="00880647" w:rsidP="00880647">
      <w:pPr>
        <w:pStyle w:val="GvdeMetni"/>
        <w:jc w:val="both"/>
        <w:rPr>
          <w:b/>
          <w:bCs/>
        </w:rPr>
      </w:pPr>
      <w:r w:rsidRPr="00492BFB">
        <w:rPr>
          <w:b/>
          <w:bCs/>
        </w:rPr>
        <w:t>2) Klorpromazin (FPN testi)</w:t>
      </w:r>
    </w:p>
    <w:p w14:paraId="09E12C79" w14:textId="77777777" w:rsidR="00880647" w:rsidRPr="00492BFB" w:rsidRDefault="00880647" w:rsidP="00880647">
      <w:pPr>
        <w:pStyle w:val="GvdeMetni"/>
        <w:jc w:val="both"/>
      </w:pPr>
      <w:r w:rsidRPr="00492BFB">
        <w:t>Uygulama: 0,5 mL örneğe 0,5 mL FPN reaktifi eklenir.</w:t>
      </w:r>
    </w:p>
    <w:p w14:paraId="5388DFD6" w14:textId="5E24CAC0" w:rsidR="00504D46" w:rsidRPr="00492BFB" w:rsidRDefault="00880647" w:rsidP="00880647">
      <w:pPr>
        <w:pStyle w:val="GvdeMetni"/>
        <w:jc w:val="both"/>
      </w:pPr>
      <w:r w:rsidRPr="00492BFB">
        <w:t>Pozitif sonuç: İdrardaki ilaç düzeyine bağlı olarak pembe → kırmızı → turuncu → viyole → mavi şeklinde ilerleyen bir renk değişimi izlenebilir.</w:t>
      </w:r>
    </w:p>
    <w:p w14:paraId="59F77F97" w14:textId="1A9816E3" w:rsidR="00395408" w:rsidRPr="00492BFB" w:rsidRDefault="00395408" w:rsidP="00880647">
      <w:pPr>
        <w:pStyle w:val="GvdeMetni"/>
        <w:jc w:val="both"/>
        <w:rPr>
          <w:b/>
          <w:bCs/>
        </w:rPr>
      </w:pPr>
      <w:r w:rsidRPr="00492BFB">
        <w:rPr>
          <w:b/>
          <w:bCs/>
        </w:rPr>
        <w:t>FPN Reaktifinin Hazırlanması:</w:t>
      </w:r>
    </w:p>
    <w:p w14:paraId="173596BC" w14:textId="77777777" w:rsidR="00395408" w:rsidRPr="00492BFB" w:rsidRDefault="00395408" w:rsidP="00395408">
      <w:pPr>
        <w:pStyle w:val="GvdeMetni"/>
        <w:numPr>
          <w:ilvl w:val="0"/>
          <w:numId w:val="16"/>
        </w:numPr>
        <w:jc w:val="both"/>
      </w:pPr>
      <w:r w:rsidRPr="00492BFB">
        <w:t>5 mL %5 (w/v) FeCl₃ sulu çözeltisi</w:t>
      </w:r>
    </w:p>
    <w:p w14:paraId="3BB7D492" w14:textId="77777777" w:rsidR="00395408" w:rsidRPr="00492BFB" w:rsidRDefault="00395408" w:rsidP="00395408">
      <w:pPr>
        <w:pStyle w:val="GvdeMetni"/>
        <w:numPr>
          <w:ilvl w:val="0"/>
          <w:numId w:val="16"/>
        </w:numPr>
        <w:jc w:val="both"/>
      </w:pPr>
      <w:r w:rsidRPr="00492BFB">
        <w:t>45 mL %20 perklorik asit çözeltisi</w:t>
      </w:r>
    </w:p>
    <w:p w14:paraId="7EA72876" w14:textId="62EBAA4F" w:rsidR="00395408" w:rsidRPr="001663F2" w:rsidRDefault="00395408" w:rsidP="00395408">
      <w:pPr>
        <w:pStyle w:val="GvdeMetni"/>
        <w:numPr>
          <w:ilvl w:val="0"/>
          <w:numId w:val="16"/>
        </w:numPr>
        <w:jc w:val="both"/>
        <w:rPr>
          <w:highlight w:val="yellow"/>
        </w:rPr>
      </w:pPr>
      <w:r w:rsidRPr="00492BFB">
        <w:t>50 mL %50 (v/v) nitrik asit çözeltisi</w:t>
      </w:r>
    </w:p>
    <w:p w14:paraId="18280F30" w14:textId="542E7164" w:rsidR="00373639" w:rsidRDefault="00373639" w:rsidP="00373639">
      <w:pPr>
        <w:pStyle w:val="GvdeMetni"/>
        <w:jc w:val="both"/>
      </w:pPr>
      <w:r>
        <w:t>T</w:t>
      </w:r>
      <w:r w:rsidRPr="00373639">
        <w:t>üm çözeltiler balon joje içersine alınır ve amber şişeye aktarılır.</w:t>
      </w:r>
    </w:p>
    <w:p w14:paraId="086E88BF" w14:textId="77777777" w:rsidR="00AD7385" w:rsidRDefault="00AD7385" w:rsidP="00373639">
      <w:pPr>
        <w:pStyle w:val="GvdeMetni"/>
        <w:jc w:val="both"/>
      </w:pPr>
    </w:p>
    <w:p w14:paraId="4A88193C" w14:textId="77777777" w:rsidR="00AD7385" w:rsidRDefault="00AD7385" w:rsidP="00373639">
      <w:pPr>
        <w:pStyle w:val="GvdeMetni"/>
        <w:jc w:val="both"/>
      </w:pPr>
    </w:p>
    <w:p w14:paraId="582C256B" w14:textId="77777777" w:rsidR="00AD7385" w:rsidRDefault="00AD7385" w:rsidP="00373639">
      <w:pPr>
        <w:pStyle w:val="GvdeMetni"/>
        <w:jc w:val="both"/>
      </w:pPr>
    </w:p>
    <w:p w14:paraId="2C123472" w14:textId="77777777" w:rsidR="00AD7385" w:rsidRDefault="00AD7385" w:rsidP="00373639">
      <w:pPr>
        <w:pStyle w:val="GvdeMetni"/>
        <w:jc w:val="both"/>
      </w:pPr>
    </w:p>
    <w:p w14:paraId="39A41E60" w14:textId="77777777" w:rsidR="00AD7385" w:rsidRDefault="00AD7385" w:rsidP="00373639">
      <w:pPr>
        <w:pStyle w:val="GvdeMetni"/>
        <w:jc w:val="both"/>
      </w:pPr>
    </w:p>
    <w:p w14:paraId="4EA00503" w14:textId="77777777" w:rsidR="00AD7385" w:rsidRDefault="00AD7385" w:rsidP="00373639">
      <w:pPr>
        <w:pStyle w:val="GvdeMetni"/>
        <w:jc w:val="both"/>
      </w:pPr>
    </w:p>
    <w:p w14:paraId="03263F30" w14:textId="77777777" w:rsidR="00AD7385" w:rsidRDefault="00AD7385" w:rsidP="00373639">
      <w:pPr>
        <w:pStyle w:val="GvdeMetni"/>
        <w:jc w:val="both"/>
      </w:pPr>
    </w:p>
    <w:p w14:paraId="1C112A95" w14:textId="77777777" w:rsidR="00AD7385" w:rsidRDefault="00AD7385" w:rsidP="00373639">
      <w:pPr>
        <w:pStyle w:val="GvdeMetni"/>
        <w:jc w:val="both"/>
      </w:pPr>
    </w:p>
    <w:p w14:paraId="3574D035" w14:textId="77777777" w:rsidR="00AD7385" w:rsidRDefault="00AD7385" w:rsidP="00373639">
      <w:pPr>
        <w:pStyle w:val="GvdeMetni"/>
        <w:jc w:val="both"/>
      </w:pPr>
    </w:p>
    <w:p w14:paraId="6A41A4D8" w14:textId="77777777" w:rsidR="00AD7385" w:rsidRDefault="00AD7385" w:rsidP="00373639">
      <w:pPr>
        <w:pStyle w:val="GvdeMetni"/>
        <w:jc w:val="both"/>
      </w:pPr>
    </w:p>
    <w:p w14:paraId="70EC7EF0" w14:textId="77777777" w:rsidR="00AD7385" w:rsidRDefault="00AD7385" w:rsidP="00373639">
      <w:pPr>
        <w:pStyle w:val="GvdeMetni"/>
        <w:jc w:val="both"/>
      </w:pPr>
    </w:p>
    <w:p w14:paraId="024219BD" w14:textId="77777777" w:rsidR="00AD7385" w:rsidRDefault="00AD7385" w:rsidP="00373639">
      <w:pPr>
        <w:pStyle w:val="GvdeMetni"/>
        <w:jc w:val="both"/>
      </w:pPr>
    </w:p>
    <w:p w14:paraId="48FB821B" w14:textId="77777777" w:rsidR="00AD7385" w:rsidRDefault="00AD7385" w:rsidP="00373639">
      <w:pPr>
        <w:pStyle w:val="GvdeMetni"/>
        <w:jc w:val="both"/>
      </w:pPr>
    </w:p>
    <w:p w14:paraId="6BD3FF52" w14:textId="77777777" w:rsidR="00AD7385" w:rsidRDefault="00AD7385" w:rsidP="00373639">
      <w:pPr>
        <w:pStyle w:val="GvdeMetni"/>
        <w:jc w:val="both"/>
      </w:pPr>
    </w:p>
    <w:p w14:paraId="1F8D3971" w14:textId="77777777" w:rsidR="00AD7385" w:rsidRDefault="00AD7385" w:rsidP="00373639">
      <w:pPr>
        <w:pStyle w:val="GvdeMetni"/>
        <w:jc w:val="both"/>
      </w:pPr>
    </w:p>
    <w:p w14:paraId="6A944B77" w14:textId="77777777" w:rsidR="00AD7385" w:rsidRDefault="00AD7385" w:rsidP="00373639">
      <w:pPr>
        <w:pStyle w:val="GvdeMetni"/>
        <w:jc w:val="both"/>
      </w:pPr>
    </w:p>
    <w:p w14:paraId="2295535C" w14:textId="77777777" w:rsidR="00AD7385" w:rsidRDefault="00AD7385" w:rsidP="00373639">
      <w:pPr>
        <w:pStyle w:val="GvdeMetni"/>
        <w:jc w:val="both"/>
      </w:pPr>
    </w:p>
    <w:p w14:paraId="366D8CB3" w14:textId="77777777" w:rsidR="00AD7385" w:rsidRDefault="00AD7385" w:rsidP="00373639">
      <w:pPr>
        <w:pStyle w:val="GvdeMetni"/>
        <w:jc w:val="both"/>
      </w:pPr>
    </w:p>
    <w:p w14:paraId="6B286DB5" w14:textId="77777777" w:rsidR="00AD7385" w:rsidRDefault="00AD7385" w:rsidP="00373639">
      <w:pPr>
        <w:pStyle w:val="GvdeMetni"/>
        <w:jc w:val="both"/>
      </w:pPr>
    </w:p>
    <w:p w14:paraId="3A450FF5" w14:textId="77777777" w:rsidR="00AD7385" w:rsidRDefault="00AD7385" w:rsidP="00373639">
      <w:pPr>
        <w:pStyle w:val="GvdeMetni"/>
        <w:jc w:val="both"/>
      </w:pPr>
    </w:p>
    <w:p w14:paraId="44646C71" w14:textId="77777777" w:rsidR="00AD7385" w:rsidRDefault="00AD7385" w:rsidP="00373639">
      <w:pPr>
        <w:pStyle w:val="GvdeMetni"/>
        <w:jc w:val="both"/>
      </w:pPr>
    </w:p>
    <w:p w14:paraId="4D873681" w14:textId="77777777" w:rsidR="00AD7385" w:rsidRDefault="00AD7385" w:rsidP="00373639">
      <w:pPr>
        <w:pStyle w:val="GvdeMetni"/>
        <w:jc w:val="both"/>
      </w:pPr>
    </w:p>
    <w:p w14:paraId="3AFB6CCF" w14:textId="77777777" w:rsidR="00AD7385" w:rsidRDefault="00AD7385" w:rsidP="00373639">
      <w:pPr>
        <w:pStyle w:val="GvdeMetni"/>
        <w:jc w:val="both"/>
      </w:pPr>
    </w:p>
    <w:p w14:paraId="00477448" w14:textId="77777777" w:rsidR="00AD7385" w:rsidRDefault="00AD7385" w:rsidP="00373639">
      <w:pPr>
        <w:pStyle w:val="GvdeMetni"/>
        <w:jc w:val="both"/>
      </w:pPr>
    </w:p>
    <w:p w14:paraId="73F6B5A7" w14:textId="77777777" w:rsidR="00AD7385" w:rsidRDefault="00AD7385" w:rsidP="00373639">
      <w:pPr>
        <w:pStyle w:val="GvdeMetni"/>
        <w:jc w:val="both"/>
      </w:pPr>
    </w:p>
    <w:p w14:paraId="552C8ABB" w14:textId="77777777" w:rsidR="00AD7385" w:rsidRDefault="00AD7385" w:rsidP="00373639">
      <w:pPr>
        <w:pStyle w:val="GvdeMetni"/>
        <w:jc w:val="both"/>
      </w:pPr>
    </w:p>
    <w:p w14:paraId="428A7402" w14:textId="77777777" w:rsidR="00AD7385" w:rsidRDefault="00AD7385" w:rsidP="00373639">
      <w:pPr>
        <w:pStyle w:val="GvdeMetni"/>
        <w:jc w:val="both"/>
      </w:pPr>
    </w:p>
    <w:p w14:paraId="6214EECF" w14:textId="77777777" w:rsidR="00AD7385" w:rsidRDefault="00AD7385" w:rsidP="00373639">
      <w:pPr>
        <w:pStyle w:val="GvdeMetni"/>
        <w:jc w:val="both"/>
      </w:pPr>
    </w:p>
    <w:p w14:paraId="04F5558B" w14:textId="77777777" w:rsidR="00AD7385" w:rsidRDefault="00AD7385" w:rsidP="00373639">
      <w:pPr>
        <w:pStyle w:val="GvdeMetni"/>
        <w:jc w:val="both"/>
      </w:pPr>
    </w:p>
    <w:p w14:paraId="5DEADFBA" w14:textId="77777777" w:rsidR="00AD7385" w:rsidRDefault="00AD7385" w:rsidP="00373639">
      <w:pPr>
        <w:pStyle w:val="GvdeMetni"/>
        <w:jc w:val="both"/>
      </w:pPr>
    </w:p>
    <w:p w14:paraId="08FF7E9B" w14:textId="77777777" w:rsidR="00AD7385" w:rsidRDefault="00AD7385" w:rsidP="00373639">
      <w:pPr>
        <w:pStyle w:val="GvdeMetni"/>
        <w:jc w:val="both"/>
      </w:pPr>
    </w:p>
    <w:p w14:paraId="7ECF5A25" w14:textId="77777777" w:rsidR="00AD7385" w:rsidRDefault="00AD7385" w:rsidP="00373639">
      <w:pPr>
        <w:pStyle w:val="GvdeMetni"/>
        <w:jc w:val="both"/>
      </w:pPr>
    </w:p>
    <w:p w14:paraId="7DEED2D2" w14:textId="77777777" w:rsidR="00AD7385" w:rsidRDefault="00AD7385" w:rsidP="00373639">
      <w:pPr>
        <w:pStyle w:val="GvdeMetni"/>
        <w:jc w:val="both"/>
      </w:pPr>
    </w:p>
    <w:p w14:paraId="7228BE97" w14:textId="77777777" w:rsidR="00AD7385" w:rsidRDefault="00AD7385" w:rsidP="00373639">
      <w:pPr>
        <w:pStyle w:val="GvdeMetni"/>
        <w:jc w:val="both"/>
      </w:pPr>
    </w:p>
    <w:p w14:paraId="356C8756" w14:textId="77777777" w:rsidR="00AD7385" w:rsidRDefault="00AD7385" w:rsidP="00373639">
      <w:pPr>
        <w:pStyle w:val="GvdeMetni"/>
        <w:jc w:val="both"/>
      </w:pPr>
    </w:p>
    <w:p w14:paraId="110DB728" w14:textId="7FB7A8FA" w:rsidR="00AD7385" w:rsidRPr="00AD7385" w:rsidRDefault="00AD7385" w:rsidP="00373639">
      <w:pPr>
        <w:pStyle w:val="GvdeMetni"/>
        <w:jc w:val="both"/>
        <w:rPr>
          <w:b/>
          <w:bCs/>
        </w:rPr>
      </w:pPr>
      <w:r w:rsidRPr="00AD7385">
        <w:rPr>
          <w:b/>
          <w:bCs/>
        </w:rPr>
        <w:t>SIKLIKLA ZEHİRLENMELERE YOL AÇAN BAZİK İLAÇLAR</w:t>
      </w:r>
    </w:p>
    <w:p w14:paraId="590AC885" w14:textId="77777777" w:rsidR="00AD7385" w:rsidRDefault="00AD7385" w:rsidP="00373639">
      <w:pPr>
        <w:pStyle w:val="GvdeMetni"/>
        <w:jc w:val="both"/>
      </w:pPr>
    </w:p>
    <w:p w14:paraId="485DA6AE" w14:textId="6ACA8033" w:rsidR="00AD7385" w:rsidRDefault="00AD7385" w:rsidP="00AD7385">
      <w:pPr>
        <w:pStyle w:val="GvdeMetni"/>
        <w:jc w:val="both"/>
        <w:rPr>
          <w:b/>
          <w:bCs/>
        </w:rPr>
      </w:pPr>
      <w:r>
        <w:rPr>
          <w:b/>
          <w:bCs/>
        </w:rPr>
        <w:t>1.</w:t>
      </w:r>
      <w:r w:rsidRPr="00AD7385">
        <w:rPr>
          <w:b/>
          <w:bCs/>
        </w:rPr>
        <w:t>Amitriptilin (Trisiklik antidepresan, TCA)</w:t>
      </w:r>
    </w:p>
    <w:p w14:paraId="4BD02F96" w14:textId="77777777" w:rsidR="00AD7385" w:rsidRPr="00AD7385" w:rsidRDefault="00AD7385" w:rsidP="00AD7385">
      <w:pPr>
        <w:pStyle w:val="GvdeMetni"/>
        <w:jc w:val="both"/>
        <w:rPr>
          <w:b/>
          <w:bCs/>
        </w:rPr>
      </w:pPr>
      <w:r w:rsidRPr="00AD7385">
        <w:rPr>
          <w:b/>
          <w:bCs/>
        </w:rPr>
        <w:t>Genel özellikler</w:t>
      </w:r>
    </w:p>
    <w:p w14:paraId="7F8939CE" w14:textId="77777777" w:rsidR="00AD7385" w:rsidRDefault="00AD7385" w:rsidP="00AD7385">
      <w:pPr>
        <w:pStyle w:val="GvdeMetni"/>
        <w:jc w:val="both"/>
      </w:pPr>
      <w:r>
        <w:t>Bazik, lipofilik, antikolinerjik etkisi belirgin; kardiyotoksisite riski nedeniyle terapötik indeksi dardır.</w:t>
      </w:r>
    </w:p>
    <w:p w14:paraId="771607ED" w14:textId="75A52447" w:rsidR="00AD7385" w:rsidRPr="00AD7385" w:rsidRDefault="00AD7385" w:rsidP="00AD7385">
      <w:pPr>
        <w:pStyle w:val="GvdeMetni"/>
        <w:jc w:val="both"/>
        <w:rPr>
          <w:b/>
          <w:bCs/>
        </w:rPr>
      </w:pPr>
      <w:r w:rsidRPr="00AD7385">
        <w:rPr>
          <w:b/>
          <w:bCs/>
        </w:rPr>
        <w:t xml:space="preserve">Endikasyonlar </w:t>
      </w:r>
    </w:p>
    <w:p w14:paraId="2BC3EEED" w14:textId="77777777" w:rsidR="00AD7385" w:rsidRDefault="00AD7385" w:rsidP="00AD7385">
      <w:pPr>
        <w:pStyle w:val="GvdeMetni"/>
        <w:jc w:val="both"/>
      </w:pPr>
      <w:r>
        <w:t>Depresyon; ayrıca klinikte nöropatik ağrı, migren profilaksisi, uyku sorunları gibi durumlarda da reçetelenebilir (ülkeye/kliniğe göre).</w:t>
      </w:r>
    </w:p>
    <w:p w14:paraId="3C0033AF" w14:textId="5B6DAC74" w:rsidR="00AD7385" w:rsidRPr="00AD7385" w:rsidRDefault="00AD7385" w:rsidP="00AD7385">
      <w:pPr>
        <w:pStyle w:val="GvdeMetni"/>
        <w:jc w:val="both"/>
        <w:rPr>
          <w:b/>
          <w:bCs/>
        </w:rPr>
      </w:pPr>
      <w:r w:rsidRPr="00AD7385">
        <w:rPr>
          <w:b/>
          <w:bCs/>
        </w:rPr>
        <w:t xml:space="preserve">Farmakokinetik </w:t>
      </w:r>
    </w:p>
    <w:p w14:paraId="12771720" w14:textId="77777777" w:rsidR="00AD7385" w:rsidRDefault="00AD7385" w:rsidP="00AD7385">
      <w:pPr>
        <w:pStyle w:val="GvdeMetni"/>
        <w:jc w:val="both"/>
      </w:pPr>
      <w:r>
        <w:t xml:space="preserve">Oral emilir; yüksek protein bağlanması (~%95); karaciğerde nortriptiline metabolize </w:t>
      </w:r>
      <w:proofErr w:type="gramStart"/>
      <w:r>
        <w:t>olur;</w:t>
      </w:r>
      <w:proofErr w:type="gramEnd"/>
      <w:r>
        <w:t xml:space="preserve"> t½ ~16±6 saat, Vd ~14 L/kg bildirilmektedir.</w:t>
      </w:r>
    </w:p>
    <w:p w14:paraId="1E1DE4FB" w14:textId="197DD74D" w:rsidR="00AD7385" w:rsidRDefault="00AD7385" w:rsidP="00AD7385">
      <w:pPr>
        <w:pStyle w:val="GvdeMetni"/>
        <w:jc w:val="both"/>
      </w:pPr>
      <w:r w:rsidRPr="00AD7385">
        <w:rPr>
          <w:b/>
          <w:bCs/>
        </w:rPr>
        <w:t>Terapötik doz</w:t>
      </w:r>
      <w:r>
        <w:t xml:space="preserve"> </w:t>
      </w:r>
    </w:p>
    <w:p w14:paraId="4A499456" w14:textId="77777777" w:rsidR="00AD7385" w:rsidRDefault="00AD7385" w:rsidP="00AD7385">
      <w:pPr>
        <w:pStyle w:val="GvdeMetni"/>
        <w:jc w:val="both"/>
      </w:pPr>
      <w:r>
        <w:t>Klinik endikasyona göre değişir; depresyonda erişkinde genellikle kademeli artırılan günlük dozlar kullanılır. (Ürün bilgileri doz aralıklarını ayrıntılandırır.)</w:t>
      </w:r>
    </w:p>
    <w:p w14:paraId="5A49B43A" w14:textId="0BB973CD" w:rsidR="00AD7385" w:rsidRPr="00AD7385" w:rsidRDefault="00AD7385" w:rsidP="00AD7385">
      <w:pPr>
        <w:pStyle w:val="GvdeMetni"/>
        <w:jc w:val="both"/>
        <w:rPr>
          <w:b/>
          <w:bCs/>
        </w:rPr>
      </w:pPr>
      <w:r w:rsidRPr="00AD7385">
        <w:rPr>
          <w:b/>
          <w:bCs/>
        </w:rPr>
        <w:t xml:space="preserve">Toksik doz </w:t>
      </w:r>
    </w:p>
    <w:p w14:paraId="4040DB4C" w14:textId="77777777" w:rsidR="00AD7385" w:rsidRDefault="00AD7385" w:rsidP="00AD7385">
      <w:pPr>
        <w:pStyle w:val="GvdeMetni"/>
        <w:jc w:val="both"/>
      </w:pPr>
      <w:r>
        <w:t>TCA’larda 10–20 mg/kg alım potansiyel olarak yaşamı tehdit edebilir (sınıf bilgisi; bireysel değişkenlik çoktur).</w:t>
      </w:r>
    </w:p>
    <w:p w14:paraId="44D1B23E" w14:textId="649C363E" w:rsidR="00AD7385" w:rsidRPr="00AD7385" w:rsidRDefault="00AD7385" w:rsidP="00AD7385">
      <w:pPr>
        <w:pStyle w:val="GvdeMetni"/>
        <w:jc w:val="both"/>
        <w:rPr>
          <w:b/>
          <w:bCs/>
        </w:rPr>
      </w:pPr>
      <w:r w:rsidRPr="00AD7385">
        <w:rPr>
          <w:b/>
          <w:bCs/>
        </w:rPr>
        <w:t xml:space="preserve">Toksisite mekanizması </w:t>
      </w:r>
    </w:p>
    <w:p w14:paraId="643BC40E" w14:textId="77777777" w:rsidR="00AD7385" w:rsidRDefault="00AD7385" w:rsidP="00AD7385">
      <w:pPr>
        <w:pStyle w:val="GvdeMetni"/>
        <w:jc w:val="both"/>
      </w:pPr>
      <w:r>
        <w:t>Kardiyak sodyum kanal blokajı → QRS genişlemesi, ventriküler aritmiler</w:t>
      </w:r>
    </w:p>
    <w:p w14:paraId="3B32E9D5" w14:textId="77777777" w:rsidR="00AD7385" w:rsidRDefault="00AD7385" w:rsidP="00AD7385">
      <w:pPr>
        <w:pStyle w:val="GvdeMetni"/>
        <w:jc w:val="both"/>
      </w:pPr>
      <w:r>
        <w:t>Antikolinerjik etki + alfa-blokaj → taşikardi, hipotansiyon</w:t>
      </w:r>
    </w:p>
    <w:p w14:paraId="06CB8112" w14:textId="77777777" w:rsidR="00AD7385" w:rsidRDefault="00AD7385" w:rsidP="00AD7385">
      <w:pPr>
        <w:pStyle w:val="GvdeMetni"/>
        <w:jc w:val="both"/>
      </w:pPr>
      <w:r>
        <w:t>GABA-A etkilenmesi/SSS toksisitesi → nöbet, koma</w:t>
      </w:r>
    </w:p>
    <w:p w14:paraId="0EBA2081" w14:textId="57D9E042" w:rsidR="00AD7385" w:rsidRDefault="00AD7385" w:rsidP="00AD7385">
      <w:pPr>
        <w:pStyle w:val="GvdeMetni"/>
        <w:jc w:val="both"/>
      </w:pPr>
      <w:r w:rsidRPr="00AD7385">
        <w:rPr>
          <w:b/>
          <w:bCs/>
        </w:rPr>
        <w:t xml:space="preserve">Zehirlenme tedavisi </w:t>
      </w:r>
    </w:p>
    <w:p w14:paraId="11061F67" w14:textId="77777777" w:rsidR="00AD7385" w:rsidRDefault="00AD7385" w:rsidP="00AD7385">
      <w:pPr>
        <w:pStyle w:val="GvdeMetni"/>
        <w:jc w:val="both"/>
      </w:pPr>
      <w:r>
        <w:t>EKG şart; QRS uzaması/aritmi/hipotansiyon varsa sodyum bikarbonat temel özgül yaklaşımdır (klinik kılavuzlarda QRS uzaması için önerilir).</w:t>
      </w:r>
    </w:p>
    <w:p w14:paraId="071278F5" w14:textId="23CBE362" w:rsidR="00373639" w:rsidRDefault="00AD7385" w:rsidP="00AD7385">
      <w:pPr>
        <w:pStyle w:val="GvdeMetni"/>
        <w:jc w:val="both"/>
      </w:pPr>
      <w:r>
        <w:t>Nöbette benzodiazepin; hipotansiyonda sıvı + uygun vazopressör; yoğun bakım izlemi gerekebilir.</w:t>
      </w:r>
    </w:p>
    <w:p w14:paraId="30E660FD" w14:textId="77777777" w:rsidR="00AD7385" w:rsidRDefault="00AD7385" w:rsidP="00AD7385">
      <w:pPr>
        <w:pStyle w:val="GvdeMetni"/>
        <w:jc w:val="both"/>
      </w:pPr>
    </w:p>
    <w:p w14:paraId="5A1674F1" w14:textId="7CAB7956" w:rsidR="00AD7385" w:rsidRPr="00AD7385" w:rsidRDefault="00AD7385" w:rsidP="00AD7385">
      <w:pPr>
        <w:pStyle w:val="GvdeMetni"/>
        <w:jc w:val="both"/>
        <w:rPr>
          <w:b/>
          <w:bCs/>
        </w:rPr>
      </w:pPr>
      <w:r w:rsidRPr="00AD7385">
        <w:rPr>
          <w:b/>
          <w:bCs/>
        </w:rPr>
        <w:t>Kodein (opioid analjezik/antitussif)</w:t>
      </w:r>
    </w:p>
    <w:p w14:paraId="2A912668" w14:textId="77777777" w:rsidR="00AD7385" w:rsidRPr="00AD7385" w:rsidRDefault="00AD7385" w:rsidP="00AD7385">
      <w:pPr>
        <w:pStyle w:val="GvdeMetni"/>
        <w:jc w:val="both"/>
        <w:rPr>
          <w:b/>
          <w:bCs/>
        </w:rPr>
      </w:pPr>
      <w:r w:rsidRPr="00AD7385">
        <w:rPr>
          <w:b/>
          <w:bCs/>
        </w:rPr>
        <w:t>Genel özellikler</w:t>
      </w:r>
    </w:p>
    <w:p w14:paraId="1906B052" w14:textId="77777777" w:rsidR="00AD7385" w:rsidRDefault="00AD7385" w:rsidP="00AD7385">
      <w:pPr>
        <w:pStyle w:val="GvdeMetni"/>
        <w:jc w:val="both"/>
      </w:pPr>
      <w:r>
        <w:t>Opioid; analjezik etkisi büyük ölçüde CYP2D6 ile morfine dönüşüme bağlıdır. Bu yüzden bireysel yanıt ve toksisite değişkendir.</w:t>
      </w:r>
    </w:p>
    <w:p w14:paraId="0FAC9296" w14:textId="0016F31B" w:rsidR="00AD7385" w:rsidRPr="00AD7385" w:rsidRDefault="00AD7385" w:rsidP="00AD7385">
      <w:pPr>
        <w:pStyle w:val="GvdeMetni"/>
        <w:jc w:val="both"/>
        <w:rPr>
          <w:b/>
          <w:bCs/>
        </w:rPr>
      </w:pPr>
      <w:r w:rsidRPr="00AD7385">
        <w:rPr>
          <w:b/>
          <w:bCs/>
        </w:rPr>
        <w:t xml:space="preserve">Endikasyonlar </w:t>
      </w:r>
    </w:p>
    <w:p w14:paraId="521E4BB7" w14:textId="77777777" w:rsidR="00AD7385" w:rsidRDefault="00AD7385" w:rsidP="00AD7385">
      <w:pPr>
        <w:pStyle w:val="GvdeMetni"/>
        <w:jc w:val="both"/>
      </w:pPr>
      <w:r>
        <w:t>Hafif–orta şiddette ağrı (bazı preparatlarda öksürük vb.); ürün/ülke endikasyonları değişebilir.</w:t>
      </w:r>
    </w:p>
    <w:p w14:paraId="41855299" w14:textId="0B790696" w:rsidR="00AD7385" w:rsidRPr="00AD7385" w:rsidRDefault="00AD7385" w:rsidP="00AD7385">
      <w:pPr>
        <w:pStyle w:val="GvdeMetni"/>
        <w:jc w:val="both"/>
        <w:rPr>
          <w:b/>
          <w:bCs/>
        </w:rPr>
      </w:pPr>
      <w:r w:rsidRPr="00AD7385">
        <w:rPr>
          <w:b/>
          <w:bCs/>
        </w:rPr>
        <w:t xml:space="preserve">Farmakokinetik </w:t>
      </w:r>
    </w:p>
    <w:p w14:paraId="51094E7F" w14:textId="77777777" w:rsidR="00AD7385" w:rsidRDefault="00AD7385" w:rsidP="00AD7385">
      <w:pPr>
        <w:pStyle w:val="GvdeMetni"/>
        <w:jc w:val="both"/>
      </w:pPr>
      <w:r>
        <w:t>Prodrug yönü önemli: ultra-hızlı metabolizörlerde beklenenden fazla morfin oluşabilir → solunum depresyonu riski artar.</w:t>
      </w:r>
    </w:p>
    <w:p w14:paraId="62677F9C" w14:textId="3CFE6FAD" w:rsidR="00AD7385" w:rsidRPr="00AD7385" w:rsidRDefault="00AD7385" w:rsidP="00AD7385">
      <w:pPr>
        <w:pStyle w:val="GvdeMetni"/>
        <w:jc w:val="both"/>
        <w:rPr>
          <w:b/>
          <w:bCs/>
        </w:rPr>
      </w:pPr>
      <w:r w:rsidRPr="00AD7385">
        <w:rPr>
          <w:b/>
          <w:bCs/>
        </w:rPr>
        <w:t xml:space="preserve">Terapötik doz </w:t>
      </w:r>
    </w:p>
    <w:p w14:paraId="49520991" w14:textId="77777777" w:rsidR="00AD7385" w:rsidRDefault="00AD7385" w:rsidP="00AD7385">
      <w:pPr>
        <w:pStyle w:val="GvdeMetni"/>
        <w:jc w:val="both"/>
      </w:pPr>
      <w:r>
        <w:t>Analjezi için 15–60 mg ağızdan 4–6 saatte bir, maksimum 360 mg/gün (bazı ülke ürün bilgilerinde maksimum günlük doz farklı yazılabilir).</w:t>
      </w:r>
    </w:p>
    <w:p w14:paraId="49B1244B" w14:textId="080F166A" w:rsidR="00AD7385" w:rsidRPr="00AD7385" w:rsidRDefault="00AD7385" w:rsidP="00AD7385">
      <w:pPr>
        <w:pStyle w:val="GvdeMetni"/>
        <w:jc w:val="both"/>
        <w:rPr>
          <w:b/>
          <w:bCs/>
        </w:rPr>
      </w:pPr>
      <w:r w:rsidRPr="00AD7385">
        <w:rPr>
          <w:b/>
          <w:bCs/>
        </w:rPr>
        <w:t>Toksik doz</w:t>
      </w:r>
    </w:p>
    <w:p w14:paraId="2BCA2EAF" w14:textId="77777777" w:rsidR="00AD7385" w:rsidRDefault="00AD7385" w:rsidP="00AD7385">
      <w:pPr>
        <w:pStyle w:val="GvdeMetni"/>
        <w:jc w:val="both"/>
      </w:pPr>
      <w:r>
        <w:t>Kodeinde toksisite doz + eş zamanlı sedatifler + genetik (CYP2D6) + yaş/komorbidite ile çok değişir; özellikle çocuklarda ve ultra-hızlı metabolizörlerde terapötik dozlarda bile ciddi solunum depresyonu bildirildiği için “tek bir mg/kg eşik” güvenilir değildir.</w:t>
      </w:r>
    </w:p>
    <w:p w14:paraId="39FD79E6" w14:textId="45DB8440" w:rsidR="00AD7385" w:rsidRPr="00AD7385" w:rsidRDefault="00AD7385" w:rsidP="00AD7385">
      <w:pPr>
        <w:pStyle w:val="GvdeMetni"/>
        <w:jc w:val="both"/>
        <w:rPr>
          <w:b/>
          <w:bCs/>
        </w:rPr>
      </w:pPr>
      <w:r w:rsidRPr="00AD7385">
        <w:rPr>
          <w:b/>
          <w:bCs/>
        </w:rPr>
        <w:t>Toksisite mekanizması &amp; belirtiler</w:t>
      </w:r>
    </w:p>
    <w:p w14:paraId="739FB75E" w14:textId="77777777" w:rsidR="00AD7385" w:rsidRDefault="00AD7385" w:rsidP="00AD7385">
      <w:pPr>
        <w:pStyle w:val="GvdeMetni"/>
        <w:jc w:val="both"/>
      </w:pPr>
      <w:r>
        <w:t>µ-opioid agonizmi → solunum depresyonu, bilinç azalması; tipik triad: miyozis + solunum depresyonu + koma (her olguda hepsi şart değildir).</w:t>
      </w:r>
    </w:p>
    <w:p w14:paraId="33E524F5" w14:textId="116D5761" w:rsidR="00AD7385" w:rsidRPr="00AD7385" w:rsidRDefault="00AD7385" w:rsidP="00AD7385">
      <w:pPr>
        <w:pStyle w:val="GvdeMetni"/>
        <w:jc w:val="both"/>
        <w:rPr>
          <w:b/>
          <w:bCs/>
        </w:rPr>
      </w:pPr>
      <w:r w:rsidRPr="00AD7385">
        <w:rPr>
          <w:b/>
          <w:bCs/>
        </w:rPr>
        <w:t xml:space="preserve">Zehirlenme tedavisi </w:t>
      </w:r>
    </w:p>
    <w:p w14:paraId="1F285757" w14:textId="77777777" w:rsidR="00AD7385" w:rsidRDefault="00AD7385" w:rsidP="00AD7385">
      <w:pPr>
        <w:pStyle w:val="GvdeMetni"/>
        <w:jc w:val="both"/>
      </w:pPr>
      <w:r>
        <w:t>Temel hedef ventilasyon/oksijenasyon.</w:t>
      </w:r>
    </w:p>
    <w:p w14:paraId="486EDB45" w14:textId="6F6A17C3" w:rsidR="00AD7385" w:rsidRDefault="00AD7385" w:rsidP="00AD7385">
      <w:pPr>
        <w:pStyle w:val="GvdeMetni"/>
        <w:jc w:val="both"/>
      </w:pPr>
      <w:r>
        <w:lastRenderedPageBreak/>
        <w:t>Nalokson solunum depresyonunu geri çevirmek için kullanılır; doz titrasyonu klinik protokollere göre yapılır ve yeniden sedasyon açısından izlem gerekir.</w:t>
      </w:r>
    </w:p>
    <w:p w14:paraId="532E34F1" w14:textId="77777777" w:rsidR="00AD7385" w:rsidRDefault="00AD7385" w:rsidP="00AD7385">
      <w:pPr>
        <w:pStyle w:val="GvdeMetni"/>
        <w:jc w:val="both"/>
      </w:pPr>
    </w:p>
    <w:p w14:paraId="2944C667" w14:textId="1E131A48" w:rsidR="00AD7385" w:rsidRPr="00AD7385" w:rsidRDefault="00AD7385" w:rsidP="00AD7385">
      <w:pPr>
        <w:pStyle w:val="GvdeMetni"/>
        <w:jc w:val="both"/>
        <w:rPr>
          <w:b/>
          <w:bCs/>
        </w:rPr>
      </w:pPr>
      <w:r w:rsidRPr="00AD7385">
        <w:rPr>
          <w:b/>
          <w:bCs/>
        </w:rPr>
        <w:t>3.Fenotiyazinler (örnek: Klorpromazin)</w:t>
      </w:r>
    </w:p>
    <w:p w14:paraId="4E7C3396" w14:textId="77777777" w:rsidR="00AD7385" w:rsidRPr="00AD7385" w:rsidRDefault="00AD7385" w:rsidP="00AD7385">
      <w:pPr>
        <w:pStyle w:val="GvdeMetni"/>
        <w:jc w:val="both"/>
        <w:rPr>
          <w:b/>
          <w:bCs/>
        </w:rPr>
      </w:pPr>
      <w:r w:rsidRPr="00AD7385">
        <w:rPr>
          <w:b/>
          <w:bCs/>
        </w:rPr>
        <w:t>Genel özellikler</w:t>
      </w:r>
    </w:p>
    <w:p w14:paraId="12EB650E" w14:textId="77777777" w:rsidR="00AD7385" w:rsidRDefault="00AD7385" w:rsidP="00AD7385">
      <w:pPr>
        <w:pStyle w:val="GvdeMetni"/>
        <w:jc w:val="both"/>
      </w:pPr>
      <w:r>
        <w:t>“Düşük potent” tipik antipsikotik; sedasyon + antikolinerjik etki + alfa-1 blokaj belirgin olabilir.</w:t>
      </w:r>
    </w:p>
    <w:p w14:paraId="226FC081" w14:textId="5DE405BC" w:rsidR="00AD7385" w:rsidRDefault="00AD7385" w:rsidP="00AD7385">
      <w:pPr>
        <w:pStyle w:val="GvdeMetni"/>
        <w:jc w:val="both"/>
      </w:pPr>
      <w:r w:rsidRPr="00AD7385">
        <w:rPr>
          <w:b/>
          <w:bCs/>
        </w:rPr>
        <w:t>Endikasyonlar</w:t>
      </w:r>
    </w:p>
    <w:p w14:paraId="013105DE" w14:textId="77777777" w:rsidR="00AD7385" w:rsidRDefault="00AD7385" w:rsidP="00AD7385">
      <w:pPr>
        <w:pStyle w:val="GvdeMetni"/>
        <w:jc w:val="both"/>
      </w:pPr>
      <w:r>
        <w:t>Şizofreni/psikotik bozukluklar; ayrıca bazı yerlerde bulantı-kusma, hıçkırık gibi endikasyonlar.</w:t>
      </w:r>
    </w:p>
    <w:p w14:paraId="298BD93F" w14:textId="0FBCE560" w:rsidR="00AD7385" w:rsidRPr="00AD7385" w:rsidRDefault="00AD7385" w:rsidP="00AD7385">
      <w:pPr>
        <w:pStyle w:val="GvdeMetni"/>
        <w:jc w:val="both"/>
        <w:rPr>
          <w:b/>
          <w:bCs/>
        </w:rPr>
      </w:pPr>
      <w:r w:rsidRPr="00AD7385">
        <w:rPr>
          <w:b/>
          <w:bCs/>
        </w:rPr>
        <w:t xml:space="preserve">Farmakokinetik </w:t>
      </w:r>
    </w:p>
    <w:p w14:paraId="04E9E3A3" w14:textId="77777777" w:rsidR="00AD7385" w:rsidRDefault="00AD7385" w:rsidP="00AD7385">
      <w:pPr>
        <w:pStyle w:val="GvdeMetni"/>
        <w:jc w:val="both"/>
      </w:pPr>
      <w:r>
        <w:t>Vd çok yüksek (yaklaşık 10–35 L/kg) ve protein bağlanması yüksek (~%90–99) raporlanır; doku dağılımı belirgindir.</w:t>
      </w:r>
    </w:p>
    <w:p w14:paraId="5E50C1F9" w14:textId="5CB852D0" w:rsidR="00AD7385" w:rsidRPr="00AD7385" w:rsidRDefault="00AD7385" w:rsidP="00AD7385">
      <w:pPr>
        <w:pStyle w:val="GvdeMetni"/>
        <w:jc w:val="both"/>
        <w:rPr>
          <w:b/>
          <w:bCs/>
        </w:rPr>
      </w:pPr>
      <w:r w:rsidRPr="00AD7385">
        <w:rPr>
          <w:b/>
          <w:bCs/>
        </w:rPr>
        <w:t xml:space="preserve">Terapötik doz </w:t>
      </w:r>
    </w:p>
    <w:p w14:paraId="1C07228A" w14:textId="77777777" w:rsidR="00AD7385" w:rsidRDefault="00AD7385" w:rsidP="00AD7385">
      <w:pPr>
        <w:pStyle w:val="GvdeMetni"/>
        <w:jc w:val="both"/>
      </w:pPr>
      <w:r>
        <w:t>Endikasyona göre geniş aralıklar vardır; ör. erişkinde psikotik bozukluklarda dozlar kademeli artırılır ve günlük doz aralığı ürün bilgilerine göre değişebilir.</w:t>
      </w:r>
    </w:p>
    <w:p w14:paraId="53CD969D" w14:textId="264DE595" w:rsidR="00AD7385" w:rsidRPr="00AD7385" w:rsidRDefault="00AD7385" w:rsidP="00AD7385">
      <w:pPr>
        <w:pStyle w:val="GvdeMetni"/>
        <w:jc w:val="both"/>
        <w:rPr>
          <w:b/>
          <w:bCs/>
        </w:rPr>
      </w:pPr>
      <w:r w:rsidRPr="00AD7385">
        <w:rPr>
          <w:b/>
          <w:bCs/>
        </w:rPr>
        <w:t xml:space="preserve">Toksik doz </w:t>
      </w:r>
    </w:p>
    <w:p w14:paraId="1117E2D9" w14:textId="77777777" w:rsidR="00AD7385" w:rsidRDefault="00AD7385" w:rsidP="00AD7385">
      <w:pPr>
        <w:pStyle w:val="GvdeMetni"/>
        <w:jc w:val="both"/>
      </w:pPr>
      <w:r>
        <w:t>SSS depresyonu, belirgin hipotansiyon (alfa blokaj), antikolinerjik bulgular, QT uzaması/aritmi, distoni gibi ekstrapiramidal belirtiler görülebilir.</w:t>
      </w:r>
    </w:p>
    <w:p w14:paraId="5ED1D6F4" w14:textId="156D4DD0" w:rsidR="00AD7385" w:rsidRPr="00AD7385" w:rsidRDefault="00AD7385" w:rsidP="00AD7385">
      <w:pPr>
        <w:pStyle w:val="GvdeMetni"/>
        <w:jc w:val="both"/>
        <w:rPr>
          <w:b/>
          <w:bCs/>
        </w:rPr>
      </w:pPr>
      <w:r w:rsidRPr="00AD7385">
        <w:rPr>
          <w:b/>
          <w:bCs/>
        </w:rPr>
        <w:t>Zehirlenme tedavisi</w:t>
      </w:r>
    </w:p>
    <w:p w14:paraId="5AC9FA21" w14:textId="77777777" w:rsidR="00AD7385" w:rsidRDefault="00AD7385" w:rsidP="00AD7385">
      <w:pPr>
        <w:pStyle w:val="GvdeMetni"/>
        <w:jc w:val="both"/>
      </w:pPr>
      <w:r>
        <w:t>Destek tedavisi + EKG izlemi.</w:t>
      </w:r>
    </w:p>
    <w:p w14:paraId="01E99450" w14:textId="6DBCA0C9" w:rsidR="00AD7385" w:rsidRDefault="00AD7385" w:rsidP="00AD7385">
      <w:pPr>
        <w:pStyle w:val="GvdeMetni"/>
        <w:jc w:val="both"/>
      </w:pPr>
      <w:r>
        <w:t>Hipotansiyonda: sıvı resüsitasyonu; gerekirse uygun vazopressör. Fenotiyazinlerde alfa-blokaj nedeniyle adrenalin/epinefrin bazı durumlarda istenmeyen hemodinamik yanıtlarla ilişkilendirildiği için dikkat edilmelidir.</w:t>
      </w:r>
    </w:p>
    <w:p w14:paraId="77B622F2" w14:textId="79368295" w:rsidR="00AD7385" w:rsidRDefault="00AD7385" w:rsidP="00AD7385">
      <w:pPr>
        <w:pStyle w:val="GvdeMetni"/>
        <w:jc w:val="both"/>
      </w:pPr>
      <w:r>
        <w:t>Distoni/ajitasyonda uygun semptomatik tedavi; nöbette benzodiazepin yaklaşımı.</w:t>
      </w:r>
    </w:p>
    <w:p w14:paraId="261C351D" w14:textId="77777777" w:rsidR="000853E3" w:rsidRDefault="000853E3" w:rsidP="00AD7385">
      <w:pPr>
        <w:pStyle w:val="GvdeMetni"/>
        <w:jc w:val="both"/>
      </w:pPr>
    </w:p>
    <w:p w14:paraId="7A822E8F" w14:textId="77777777" w:rsidR="000853E3" w:rsidRPr="000853E3" w:rsidRDefault="000853E3" w:rsidP="000853E3">
      <w:pPr>
        <w:pStyle w:val="GvdeMetni"/>
        <w:jc w:val="both"/>
        <w:rPr>
          <w:b/>
          <w:bCs/>
        </w:rPr>
      </w:pPr>
      <w:r w:rsidRPr="000853E3">
        <w:rPr>
          <w:b/>
          <w:bCs/>
        </w:rPr>
        <w:t>Bazik ilaçlarla zehirlenme: ortak “genel” noktalar</w:t>
      </w:r>
    </w:p>
    <w:p w14:paraId="2DA8056F" w14:textId="77777777" w:rsidR="000853E3" w:rsidRDefault="000853E3" w:rsidP="000853E3">
      <w:pPr>
        <w:pStyle w:val="GvdeMetni"/>
        <w:jc w:val="both"/>
      </w:pPr>
      <w:r w:rsidRPr="000853E3">
        <w:rPr>
          <w:b/>
          <w:bCs/>
        </w:rPr>
        <w:t>Genel özellik:</w:t>
      </w:r>
      <w:r>
        <w:t xml:space="preserve"> Çoğu bazik ilaç lipofiliktir, dokuya yayılır (Vd yüksek) ve proteinlere bağlanma gösterebilir. Bu yüzden kan düzeyi bazen klinikle tam paralel gitmeyebilir ve eliminasyon uzayabilir. (Özellikle TCA’lar ve fenotiyazinler)</w:t>
      </w:r>
    </w:p>
    <w:p w14:paraId="757A8E2B" w14:textId="77777777" w:rsidR="000853E3" w:rsidRDefault="000853E3" w:rsidP="000853E3">
      <w:pPr>
        <w:pStyle w:val="GvdeMetni"/>
        <w:jc w:val="both"/>
      </w:pPr>
      <w:r w:rsidRPr="000853E3">
        <w:rPr>
          <w:b/>
          <w:bCs/>
        </w:rPr>
        <w:t xml:space="preserve">Klinikte sık ortak bulgular: </w:t>
      </w:r>
      <w:r>
        <w:t>SSS depresyonu/ajitasyon, antikolinerjik bulgular (ağız kuruluğu, taşikardi, midriyazis, ileus), hipotansiyon, aritmi/QT-QRS değişiklikleri, nöbet.</w:t>
      </w:r>
    </w:p>
    <w:p w14:paraId="3A67B9AF" w14:textId="6314E2DD" w:rsidR="000853E3" w:rsidRDefault="000853E3" w:rsidP="000853E3">
      <w:pPr>
        <w:pStyle w:val="GvdeMetni"/>
        <w:jc w:val="both"/>
      </w:pPr>
      <w:r>
        <w:t>Tedavide genel yaklaşım: Solunum yolu desteği + EKG izlemi + semptom odaklı tedavi. Spesifik antidot/özgül tedavi ilaç sınıfına göre değişir (ör. TCA’da bikarbonat, opioidde nalokson).</w:t>
      </w:r>
    </w:p>
    <w:p w14:paraId="335ED8E8" w14:textId="77777777" w:rsidR="000853E3" w:rsidRDefault="000853E3" w:rsidP="000853E3">
      <w:pPr>
        <w:pStyle w:val="GvdeMetni"/>
        <w:jc w:val="both"/>
      </w:pPr>
    </w:p>
    <w:p w14:paraId="1BC4D199" w14:textId="2BA88EEF" w:rsidR="000853E3" w:rsidRDefault="000853E3" w:rsidP="000853E3">
      <w:pPr>
        <w:pStyle w:val="GvdeMetni"/>
        <w:jc w:val="both"/>
        <w:rPr>
          <w:b/>
          <w:bCs/>
        </w:rPr>
      </w:pPr>
      <w:r w:rsidRPr="000853E3">
        <w:rPr>
          <w:b/>
          <w:bCs/>
        </w:rPr>
        <w:t>Vaka Örnekleri</w:t>
      </w:r>
      <w:r w:rsidR="003B534D">
        <w:rPr>
          <w:b/>
          <w:bCs/>
        </w:rPr>
        <w:t>:</w:t>
      </w:r>
    </w:p>
    <w:p w14:paraId="5F7CC895" w14:textId="77777777" w:rsidR="003B534D" w:rsidRDefault="003B534D" w:rsidP="000853E3">
      <w:pPr>
        <w:pStyle w:val="GvdeMetni"/>
        <w:jc w:val="both"/>
        <w:rPr>
          <w:b/>
          <w:bCs/>
        </w:rPr>
      </w:pPr>
    </w:p>
    <w:p w14:paraId="305C3707" w14:textId="40E85242" w:rsidR="003B534D" w:rsidRPr="003B534D" w:rsidRDefault="003B534D" w:rsidP="003B534D">
      <w:pPr>
        <w:pStyle w:val="GvdeMetni"/>
        <w:jc w:val="both"/>
        <w:rPr>
          <w:b/>
          <w:bCs/>
        </w:rPr>
      </w:pPr>
      <w:r>
        <w:rPr>
          <w:b/>
          <w:bCs/>
        </w:rPr>
        <w:t>1.</w:t>
      </w:r>
      <w:r w:rsidRPr="003B534D">
        <w:rPr>
          <w:b/>
          <w:bCs/>
        </w:rPr>
        <w:t>Amitriptilin (TCA) zehirlenmesi</w:t>
      </w:r>
    </w:p>
    <w:p w14:paraId="15E0D7AE" w14:textId="77777777" w:rsidR="003B534D" w:rsidRPr="003B534D" w:rsidRDefault="003B534D" w:rsidP="003B534D">
      <w:pPr>
        <w:pStyle w:val="GvdeMetni"/>
        <w:jc w:val="both"/>
      </w:pPr>
      <w:r w:rsidRPr="003B534D">
        <w:t>Hasta: 22 yaş, kadın</w:t>
      </w:r>
    </w:p>
    <w:p w14:paraId="6DBEF53E" w14:textId="77777777" w:rsidR="003B534D" w:rsidRPr="003B534D" w:rsidRDefault="003B534D" w:rsidP="003B534D">
      <w:pPr>
        <w:pStyle w:val="GvdeMetni"/>
        <w:jc w:val="both"/>
      </w:pPr>
      <w:r w:rsidRPr="003B534D">
        <w:t>Öykü: Yakınları “depresyon ilacı” içtiğini söylüyor; alım zamanı yaklaşık 1–2 saat önce.</w:t>
      </w:r>
    </w:p>
    <w:p w14:paraId="51D32CDB" w14:textId="77777777" w:rsidR="003B534D" w:rsidRPr="003B534D" w:rsidRDefault="003B534D" w:rsidP="003B534D">
      <w:pPr>
        <w:pStyle w:val="GvdeMetni"/>
        <w:jc w:val="both"/>
      </w:pPr>
      <w:r w:rsidRPr="003B534D">
        <w:t>Başvuru yakınmaları: Sersemlik, huzursuzluk, ağız kuruluğu, çarpıntı.</w:t>
      </w:r>
    </w:p>
    <w:p w14:paraId="2D6CA59A" w14:textId="77777777" w:rsidR="003B534D" w:rsidRPr="003B534D" w:rsidRDefault="003B534D" w:rsidP="003B534D">
      <w:pPr>
        <w:pStyle w:val="GvdeMetni"/>
        <w:jc w:val="both"/>
      </w:pPr>
      <w:r w:rsidRPr="003B534D">
        <w:t>Muayene:</w:t>
      </w:r>
    </w:p>
    <w:p w14:paraId="443A5C95" w14:textId="77777777" w:rsidR="003B534D" w:rsidRPr="003B534D" w:rsidRDefault="003B534D" w:rsidP="003B534D">
      <w:pPr>
        <w:pStyle w:val="GvdeMetni"/>
        <w:jc w:val="both"/>
      </w:pPr>
      <w:r w:rsidRPr="003B534D">
        <w:t>Bilinç: Konfüze, uyuklama eğilimli</w:t>
      </w:r>
    </w:p>
    <w:p w14:paraId="7E0ED21D" w14:textId="77777777" w:rsidR="003B534D" w:rsidRPr="003B534D" w:rsidRDefault="003B534D" w:rsidP="003B534D">
      <w:pPr>
        <w:pStyle w:val="GvdeMetni"/>
        <w:jc w:val="both"/>
      </w:pPr>
      <w:r w:rsidRPr="003B534D">
        <w:t>Göz: Midriyazis</w:t>
      </w:r>
    </w:p>
    <w:p w14:paraId="197E3DA7" w14:textId="77777777" w:rsidR="003B534D" w:rsidRPr="003B534D" w:rsidRDefault="003B534D" w:rsidP="003B534D">
      <w:pPr>
        <w:pStyle w:val="GvdeMetni"/>
        <w:jc w:val="both"/>
      </w:pPr>
      <w:r w:rsidRPr="003B534D">
        <w:t>Cilt: Kuru/sıcak (antikolinerjik tablo)</w:t>
      </w:r>
    </w:p>
    <w:p w14:paraId="4CEB6435" w14:textId="77777777" w:rsidR="003B534D" w:rsidRPr="003B534D" w:rsidRDefault="003B534D" w:rsidP="003B534D">
      <w:pPr>
        <w:pStyle w:val="GvdeMetni"/>
        <w:jc w:val="both"/>
      </w:pPr>
      <w:r w:rsidRPr="003B534D">
        <w:t>EKG: QRS belirgin genişlemiş</w:t>
      </w:r>
    </w:p>
    <w:p w14:paraId="501B1C43" w14:textId="77777777" w:rsidR="003B534D" w:rsidRPr="003B534D" w:rsidRDefault="003B534D" w:rsidP="003B534D">
      <w:pPr>
        <w:pStyle w:val="GvdeMetni"/>
        <w:jc w:val="both"/>
        <w:rPr>
          <w:b/>
          <w:bCs/>
        </w:rPr>
      </w:pPr>
      <w:r w:rsidRPr="003B534D">
        <w:t>Tansiyon düşme eğiliminde</w:t>
      </w:r>
    </w:p>
    <w:p w14:paraId="0CAAA030" w14:textId="54D46A24" w:rsidR="003B534D" w:rsidRPr="003B534D" w:rsidRDefault="003B534D" w:rsidP="003B534D">
      <w:pPr>
        <w:pStyle w:val="GvdeMetni"/>
        <w:jc w:val="both"/>
      </w:pPr>
      <w:r w:rsidRPr="003B534D">
        <w:t xml:space="preserve">İlk </w:t>
      </w:r>
      <w:proofErr w:type="gramStart"/>
      <w:r w:rsidRPr="003B534D">
        <w:t>yaklaşım :Bilinç</w:t>
      </w:r>
      <w:proofErr w:type="gramEnd"/>
      <w:r w:rsidRPr="003B534D">
        <w:t xml:space="preserve"> dalgalanıyor → hava yolu koruması/aspirasyon riski açısından yakın izlem</w:t>
      </w:r>
    </w:p>
    <w:p w14:paraId="3216B720" w14:textId="1A589EE5" w:rsidR="003B534D" w:rsidRPr="003B534D" w:rsidRDefault="003B534D" w:rsidP="003B534D">
      <w:pPr>
        <w:pStyle w:val="GvdeMetni"/>
        <w:jc w:val="both"/>
      </w:pPr>
      <w:r w:rsidRPr="003B534D">
        <w:t xml:space="preserve"> Oksijen, solunum yetersizliği gelişirse ventilasyon desteği</w:t>
      </w:r>
    </w:p>
    <w:p w14:paraId="2FAE95A6" w14:textId="26C2CDA9" w:rsidR="003B534D" w:rsidRPr="003B534D" w:rsidRDefault="003B534D" w:rsidP="003B534D">
      <w:pPr>
        <w:pStyle w:val="GvdeMetni"/>
        <w:jc w:val="both"/>
        <w:rPr>
          <w:b/>
          <w:bCs/>
        </w:rPr>
      </w:pPr>
      <w:r w:rsidRPr="003B534D">
        <w:t>Damar yolu + monitörizasyon, hipotansiyona sıvı</w:t>
      </w:r>
    </w:p>
    <w:p w14:paraId="0C101ED0" w14:textId="77777777" w:rsidR="003B534D" w:rsidRPr="003B534D" w:rsidRDefault="003B534D" w:rsidP="003B534D">
      <w:pPr>
        <w:pStyle w:val="GvdeMetni"/>
        <w:jc w:val="both"/>
      </w:pPr>
      <w:r w:rsidRPr="003B534D">
        <w:lastRenderedPageBreak/>
        <w:t>Klinik ipucu:</w:t>
      </w:r>
    </w:p>
    <w:p w14:paraId="0426DB26" w14:textId="617AC8C8" w:rsidR="000853E3" w:rsidRDefault="003B534D" w:rsidP="003B534D">
      <w:pPr>
        <w:pStyle w:val="GvdeMetni"/>
        <w:jc w:val="both"/>
      </w:pPr>
      <w:r w:rsidRPr="003B534D">
        <w:t>TCA’da kardiyak sodyum kanal blokajı QRS genişlemesi ve aritmi riskini artırır. Bu durumda kılavuzlar sodyum bikarbonatı (QRS genişlemesi/ventriküler aritmi varlığında) temel tedavilerden biri olarak vurgular.</w:t>
      </w:r>
    </w:p>
    <w:p w14:paraId="2C04A6E7" w14:textId="48DB1ACC" w:rsidR="003B534D" w:rsidRDefault="003B534D" w:rsidP="003B534D">
      <w:pPr>
        <w:pStyle w:val="GvdeMetni"/>
        <w:jc w:val="both"/>
      </w:pPr>
      <w:r>
        <w:t>Antidotal tedavi:</w:t>
      </w:r>
      <w:r w:rsidRPr="003B534D">
        <w:t xml:space="preserve"> Klorpromazin aşırı dozunda spesifik antidot yoktur; tedavi büyük ölçüde destekleyici (ventilasyon, kardiyak izlem, hipotansiyon yönetimi) yürütülür ve QT uzaması/aritmi açısından EKG takibi önemlidir.</w:t>
      </w:r>
    </w:p>
    <w:p w14:paraId="467D372F" w14:textId="77777777" w:rsidR="003B534D" w:rsidRDefault="003B534D" w:rsidP="003B534D">
      <w:pPr>
        <w:pStyle w:val="GvdeMetni"/>
        <w:jc w:val="both"/>
      </w:pPr>
    </w:p>
    <w:p w14:paraId="16A6ED49" w14:textId="5C4AD303" w:rsidR="003B534D" w:rsidRPr="003B534D" w:rsidRDefault="003B534D" w:rsidP="003B534D">
      <w:pPr>
        <w:pStyle w:val="GvdeMetni"/>
        <w:jc w:val="both"/>
        <w:rPr>
          <w:b/>
          <w:bCs/>
        </w:rPr>
      </w:pPr>
      <w:r w:rsidRPr="003B534D">
        <w:rPr>
          <w:b/>
          <w:bCs/>
        </w:rPr>
        <w:t>2. Kodein (opioid) zehirlenmesi</w:t>
      </w:r>
    </w:p>
    <w:p w14:paraId="4FF2BE10" w14:textId="77777777" w:rsidR="003B534D" w:rsidRDefault="003B534D" w:rsidP="003B534D">
      <w:pPr>
        <w:pStyle w:val="GvdeMetni"/>
        <w:jc w:val="both"/>
      </w:pPr>
      <w:r>
        <w:t>Hasta: 35 yaş, erkek</w:t>
      </w:r>
    </w:p>
    <w:p w14:paraId="2E725949" w14:textId="77777777" w:rsidR="003B534D" w:rsidRDefault="003B534D" w:rsidP="003B534D">
      <w:pPr>
        <w:pStyle w:val="GvdeMetni"/>
        <w:jc w:val="both"/>
      </w:pPr>
      <w:r>
        <w:t>Öykü: Şiddetli diş ağrısı için “kodein içeren ağrı kesici” aldığını söylüyor; kısa süre sonra uyuklamış.</w:t>
      </w:r>
    </w:p>
    <w:p w14:paraId="73D80774" w14:textId="77777777" w:rsidR="003B534D" w:rsidRDefault="003B534D" w:rsidP="003B534D">
      <w:pPr>
        <w:pStyle w:val="GvdeMetni"/>
        <w:jc w:val="both"/>
      </w:pPr>
      <w:r>
        <w:t>Başvuru yakınmaları: Aşırı uyku hali, nefesin yavaşlaması.</w:t>
      </w:r>
    </w:p>
    <w:p w14:paraId="41A2E759" w14:textId="77777777" w:rsidR="003B534D" w:rsidRDefault="003B534D" w:rsidP="003B534D">
      <w:pPr>
        <w:pStyle w:val="GvdeMetni"/>
        <w:jc w:val="both"/>
      </w:pPr>
      <w:r>
        <w:t>Muayene:</w:t>
      </w:r>
    </w:p>
    <w:p w14:paraId="7EA4A795" w14:textId="77777777" w:rsidR="003B534D" w:rsidRDefault="003B534D" w:rsidP="003B534D">
      <w:pPr>
        <w:pStyle w:val="GvdeMetni"/>
        <w:jc w:val="both"/>
      </w:pPr>
      <w:r>
        <w:t>Bilinç: Uyarıya zor yanıt</w:t>
      </w:r>
    </w:p>
    <w:p w14:paraId="4BDF7E4D" w14:textId="77777777" w:rsidR="003B534D" w:rsidRDefault="003B534D" w:rsidP="003B534D">
      <w:pPr>
        <w:pStyle w:val="GvdeMetni"/>
        <w:jc w:val="both"/>
      </w:pPr>
      <w:r>
        <w:t>Solunum: Yavaş ve yüzeyel</w:t>
      </w:r>
    </w:p>
    <w:p w14:paraId="247C5648" w14:textId="77777777" w:rsidR="003B534D" w:rsidRDefault="003B534D" w:rsidP="003B534D">
      <w:pPr>
        <w:pStyle w:val="GvdeMetni"/>
        <w:jc w:val="both"/>
      </w:pPr>
      <w:r>
        <w:t>Pupiller: Küçük (miyozis)</w:t>
      </w:r>
    </w:p>
    <w:p w14:paraId="0E04FD3D" w14:textId="77777777" w:rsidR="003B534D" w:rsidRDefault="003B534D" w:rsidP="003B534D">
      <w:pPr>
        <w:pStyle w:val="GvdeMetni"/>
        <w:jc w:val="both"/>
      </w:pPr>
      <w:r>
        <w:t>SpO₂ düşmeye başlamış</w:t>
      </w:r>
    </w:p>
    <w:p w14:paraId="7073BB50" w14:textId="225E5F19" w:rsidR="003B534D" w:rsidRDefault="003B534D" w:rsidP="003B534D">
      <w:pPr>
        <w:pStyle w:val="GvdeMetni"/>
        <w:jc w:val="both"/>
      </w:pPr>
      <w:r>
        <w:t>Tedavi:</w:t>
      </w:r>
    </w:p>
    <w:p w14:paraId="7720F841" w14:textId="19730B24" w:rsidR="003B534D" w:rsidRDefault="003B534D" w:rsidP="003B534D">
      <w:pPr>
        <w:pStyle w:val="GvdeMetni"/>
        <w:jc w:val="both"/>
      </w:pPr>
      <w:r>
        <w:t>Sekresyon/aspirasyon riski → pozisyon + gerekirse hava yolu desteği</w:t>
      </w:r>
    </w:p>
    <w:p w14:paraId="3AB6C1D4" w14:textId="7E507B95" w:rsidR="003B534D" w:rsidRDefault="003B534D" w:rsidP="003B534D">
      <w:pPr>
        <w:pStyle w:val="GvdeMetni"/>
        <w:jc w:val="both"/>
      </w:pPr>
      <w:r>
        <w:t>Solunum depresyonu → oksijen + gerektiğinde manuel ventilasyon (bag-valve-mask)</w:t>
      </w:r>
    </w:p>
    <w:p w14:paraId="1DB4FF09" w14:textId="70A1FD56" w:rsidR="003B534D" w:rsidRDefault="003B534D" w:rsidP="003B534D">
      <w:pPr>
        <w:pStyle w:val="GvdeMetni"/>
        <w:jc w:val="both"/>
      </w:pPr>
      <w:r>
        <w:t>Monitörizasyon, damar yolu</w:t>
      </w:r>
    </w:p>
    <w:p w14:paraId="38F33CC2" w14:textId="43457FF6" w:rsidR="003B534D" w:rsidRDefault="003B534D" w:rsidP="003B534D">
      <w:pPr>
        <w:pStyle w:val="GvdeMetni"/>
        <w:jc w:val="both"/>
      </w:pPr>
      <w:r>
        <w:t>Opioid aşırı dozunda hedef solunumun düzeltilmesi; nalokson opioid reseptör antagonisti olarak klinik bulguları hızla tersine çevirebilir (ancak tekrar sedasyon için izlem gerekir)</w:t>
      </w:r>
    </w:p>
    <w:p w14:paraId="3D70EDCD" w14:textId="35789B62" w:rsidR="003B534D" w:rsidRDefault="003B534D" w:rsidP="003B534D">
      <w:pPr>
        <w:pStyle w:val="GvdeMetni"/>
        <w:jc w:val="both"/>
      </w:pPr>
      <w:r>
        <w:t>Antidotal Tedavi:</w:t>
      </w:r>
      <w:r w:rsidR="004011DE" w:rsidRPr="004011DE">
        <w:t xml:space="preserve"> </w:t>
      </w:r>
      <w:r w:rsidR="004011DE">
        <w:t>K</w:t>
      </w:r>
      <w:r w:rsidR="004011DE" w:rsidRPr="004011DE">
        <w:t>odein (opioid) zehirlenmesinde antidotal tedavi “nalokson”dur (</w:t>
      </w:r>
      <w:proofErr w:type="gramStart"/>
      <w:r w:rsidR="004011DE" w:rsidRPr="004011DE">
        <w:t>Naloxone)  opioid</w:t>
      </w:r>
      <w:proofErr w:type="gramEnd"/>
      <w:r w:rsidR="004011DE" w:rsidRPr="004011DE">
        <w:t xml:space="preserve"> reseptör antagonisti olarak solunum depresyonu ve bilinç baskılanmasını hızla geri çevirmek için kullanılır.</w:t>
      </w:r>
    </w:p>
    <w:p w14:paraId="337E90C7" w14:textId="77777777" w:rsidR="004011DE" w:rsidRDefault="004011DE" w:rsidP="003B534D">
      <w:pPr>
        <w:pStyle w:val="GvdeMetni"/>
        <w:jc w:val="both"/>
      </w:pPr>
    </w:p>
    <w:p w14:paraId="1D9B7818" w14:textId="77777777" w:rsidR="004011DE" w:rsidRDefault="004011DE" w:rsidP="003B534D">
      <w:pPr>
        <w:pStyle w:val="GvdeMetni"/>
        <w:jc w:val="both"/>
      </w:pPr>
    </w:p>
    <w:p w14:paraId="6E01B504" w14:textId="77777777" w:rsidR="004011DE" w:rsidRDefault="004011DE" w:rsidP="003B534D">
      <w:pPr>
        <w:pStyle w:val="GvdeMetni"/>
        <w:jc w:val="both"/>
      </w:pPr>
    </w:p>
    <w:p w14:paraId="215A2A0E" w14:textId="77777777" w:rsidR="004011DE" w:rsidRDefault="004011DE" w:rsidP="003B534D">
      <w:pPr>
        <w:pStyle w:val="GvdeMetni"/>
        <w:jc w:val="both"/>
      </w:pPr>
    </w:p>
    <w:p w14:paraId="3BF2F551" w14:textId="77777777" w:rsidR="004011DE" w:rsidRDefault="004011DE" w:rsidP="003B534D">
      <w:pPr>
        <w:pStyle w:val="GvdeMetni"/>
        <w:jc w:val="both"/>
      </w:pPr>
    </w:p>
    <w:p w14:paraId="639BB10A" w14:textId="77777777" w:rsidR="004011DE" w:rsidRDefault="004011DE" w:rsidP="003B534D">
      <w:pPr>
        <w:pStyle w:val="GvdeMetni"/>
        <w:jc w:val="both"/>
      </w:pPr>
    </w:p>
    <w:p w14:paraId="478A3537" w14:textId="77777777" w:rsidR="004011DE" w:rsidRDefault="004011DE" w:rsidP="003B534D">
      <w:pPr>
        <w:pStyle w:val="GvdeMetni"/>
        <w:jc w:val="both"/>
      </w:pPr>
    </w:p>
    <w:p w14:paraId="5107176E" w14:textId="77777777" w:rsidR="004011DE" w:rsidRDefault="004011DE" w:rsidP="003B534D">
      <w:pPr>
        <w:pStyle w:val="GvdeMetni"/>
        <w:jc w:val="both"/>
      </w:pPr>
    </w:p>
    <w:p w14:paraId="51F5060B" w14:textId="77777777" w:rsidR="004011DE" w:rsidRDefault="004011DE" w:rsidP="003B534D">
      <w:pPr>
        <w:pStyle w:val="GvdeMetni"/>
        <w:jc w:val="both"/>
      </w:pPr>
    </w:p>
    <w:p w14:paraId="4E5D04F3" w14:textId="77777777" w:rsidR="004011DE" w:rsidRDefault="004011DE" w:rsidP="003B534D">
      <w:pPr>
        <w:pStyle w:val="GvdeMetni"/>
        <w:jc w:val="both"/>
      </w:pPr>
    </w:p>
    <w:p w14:paraId="7B7E2365" w14:textId="77777777" w:rsidR="004011DE" w:rsidRDefault="004011DE" w:rsidP="003B534D">
      <w:pPr>
        <w:pStyle w:val="GvdeMetni"/>
        <w:jc w:val="both"/>
      </w:pPr>
    </w:p>
    <w:p w14:paraId="528DCC5F" w14:textId="77777777" w:rsidR="004011DE" w:rsidRDefault="004011DE" w:rsidP="003B534D">
      <w:pPr>
        <w:pStyle w:val="GvdeMetni"/>
        <w:jc w:val="both"/>
      </w:pPr>
    </w:p>
    <w:p w14:paraId="2EF84EED" w14:textId="77777777" w:rsidR="004011DE" w:rsidRDefault="004011DE" w:rsidP="003B534D">
      <w:pPr>
        <w:pStyle w:val="GvdeMetni"/>
        <w:jc w:val="both"/>
      </w:pPr>
    </w:p>
    <w:p w14:paraId="0EF3662A" w14:textId="77777777" w:rsidR="004011DE" w:rsidRDefault="004011DE" w:rsidP="003B534D">
      <w:pPr>
        <w:pStyle w:val="GvdeMetni"/>
        <w:jc w:val="both"/>
      </w:pPr>
    </w:p>
    <w:p w14:paraId="4BC7BE7F" w14:textId="77777777" w:rsidR="004011DE" w:rsidRDefault="004011DE" w:rsidP="003B534D">
      <w:pPr>
        <w:pStyle w:val="GvdeMetni"/>
        <w:jc w:val="both"/>
      </w:pPr>
    </w:p>
    <w:p w14:paraId="68D4642C" w14:textId="77777777" w:rsidR="004011DE" w:rsidRDefault="004011DE" w:rsidP="003B534D">
      <w:pPr>
        <w:pStyle w:val="GvdeMetni"/>
        <w:jc w:val="both"/>
      </w:pPr>
    </w:p>
    <w:p w14:paraId="1175A954" w14:textId="77777777" w:rsidR="004011DE" w:rsidRDefault="004011DE" w:rsidP="003B534D">
      <w:pPr>
        <w:pStyle w:val="GvdeMetni"/>
        <w:jc w:val="both"/>
      </w:pPr>
    </w:p>
    <w:p w14:paraId="61199884" w14:textId="77777777" w:rsidR="004011DE" w:rsidRDefault="004011DE" w:rsidP="003B534D">
      <w:pPr>
        <w:pStyle w:val="GvdeMetni"/>
        <w:jc w:val="both"/>
      </w:pPr>
    </w:p>
    <w:p w14:paraId="5D5237D5" w14:textId="77777777" w:rsidR="004011DE" w:rsidRDefault="004011DE" w:rsidP="003B534D">
      <w:pPr>
        <w:pStyle w:val="GvdeMetni"/>
        <w:jc w:val="both"/>
      </w:pPr>
    </w:p>
    <w:p w14:paraId="229F006C" w14:textId="77777777" w:rsidR="004011DE" w:rsidRDefault="004011DE" w:rsidP="003B534D">
      <w:pPr>
        <w:pStyle w:val="GvdeMetni"/>
        <w:jc w:val="both"/>
      </w:pPr>
    </w:p>
    <w:p w14:paraId="50510E8E" w14:textId="77777777" w:rsidR="004011DE" w:rsidRDefault="004011DE" w:rsidP="003B534D">
      <w:pPr>
        <w:pStyle w:val="GvdeMetni"/>
        <w:jc w:val="both"/>
      </w:pPr>
    </w:p>
    <w:p w14:paraId="6220AE39" w14:textId="77777777" w:rsidR="004011DE" w:rsidRDefault="004011DE" w:rsidP="003B534D">
      <w:pPr>
        <w:pStyle w:val="GvdeMetni"/>
        <w:jc w:val="both"/>
      </w:pPr>
    </w:p>
    <w:p w14:paraId="1ECF0829" w14:textId="77777777" w:rsidR="004011DE" w:rsidRDefault="004011DE" w:rsidP="003B534D">
      <w:pPr>
        <w:pStyle w:val="GvdeMetni"/>
        <w:jc w:val="both"/>
      </w:pPr>
    </w:p>
    <w:p w14:paraId="1FBAF476" w14:textId="77777777" w:rsidR="004011DE" w:rsidRDefault="004011DE" w:rsidP="004011DE">
      <w:pPr>
        <w:pStyle w:val="GvdeMetni"/>
        <w:jc w:val="both"/>
        <w:rPr>
          <w:b/>
          <w:bCs/>
        </w:rPr>
      </w:pPr>
      <w:r w:rsidRPr="004011DE">
        <w:rPr>
          <w:b/>
          <w:bCs/>
        </w:rPr>
        <w:lastRenderedPageBreak/>
        <w:t>Gıdalardaki Katkı Maddelerinin Kalitatif Olarak Araştırılması</w:t>
      </w:r>
    </w:p>
    <w:p w14:paraId="55729CA0" w14:textId="77777777" w:rsidR="004011DE" w:rsidRDefault="004011DE" w:rsidP="004011DE">
      <w:pPr>
        <w:pStyle w:val="GvdeMetni"/>
        <w:jc w:val="both"/>
        <w:rPr>
          <w:b/>
          <w:bCs/>
        </w:rPr>
      </w:pPr>
    </w:p>
    <w:p w14:paraId="091B00BD" w14:textId="44C14FD8" w:rsidR="004011DE" w:rsidRDefault="004011DE" w:rsidP="004011DE">
      <w:pPr>
        <w:pStyle w:val="GvdeMetni"/>
        <w:jc w:val="both"/>
        <w:rPr>
          <w:b/>
          <w:bCs/>
        </w:rPr>
      </w:pPr>
      <w:r w:rsidRPr="004011DE">
        <w:t>Gıda katkı maddesi; tek başına gıda olarak tüketilmeyen ve gıdanın doğal bileşeni olmayan, teknolojik amaçla üretim/işleme/ambalajlama/depolama gibi aşamalarda gıdaya eklenen ve eklenmesiyle kendisi veya yan ürünleri gıdanın bileşeni haline gelen maddelerdir. Şekerler, bazı aroma/çeşni maddeleri, ambalajlama–kaplama malzemeleri, pektin türevleri, bazı nişasta türevleri, belirli aminoasitler ve tuzları, bazı protein türevleri vb. bazı gruplar belirli koşullarda “katkı maddesi” sınıfında değerlendirilmez. Diğer katkıların sınıflaması ve limitleri Türk Gıda Kodeksi’nde yer alır</w:t>
      </w:r>
      <w:r w:rsidRPr="004011DE">
        <w:rPr>
          <w:b/>
          <w:bCs/>
        </w:rPr>
        <w:t>.</w:t>
      </w:r>
    </w:p>
    <w:p w14:paraId="56534E1D" w14:textId="1738FA32" w:rsidR="004011DE" w:rsidRPr="004011DE" w:rsidRDefault="004011DE" w:rsidP="004011DE">
      <w:pPr>
        <w:pStyle w:val="GvdeMetni"/>
        <w:jc w:val="both"/>
        <w:rPr>
          <w:b/>
          <w:bCs/>
        </w:rPr>
      </w:pPr>
      <w:r>
        <w:rPr>
          <w:b/>
          <w:bCs/>
        </w:rPr>
        <w:t>T</w:t>
      </w:r>
      <w:r w:rsidRPr="004011DE">
        <w:rPr>
          <w:b/>
          <w:bCs/>
        </w:rPr>
        <w:t>ürk Gıda Mevzuatı ve Amaçları</w:t>
      </w:r>
    </w:p>
    <w:p w14:paraId="54E89E54" w14:textId="44966AA9" w:rsidR="004011DE" w:rsidRPr="004011DE" w:rsidRDefault="004011DE" w:rsidP="004011DE">
      <w:pPr>
        <w:pStyle w:val="GvdeMetni"/>
        <w:jc w:val="both"/>
      </w:pPr>
      <w:r w:rsidRPr="004011DE">
        <w:rPr>
          <w:b/>
          <w:bCs/>
        </w:rPr>
        <w:t xml:space="preserve"> </w:t>
      </w:r>
      <w:r w:rsidRPr="004011DE">
        <w:t>Gıda Mevzuatı Neden Önemlidir?</w:t>
      </w:r>
    </w:p>
    <w:p w14:paraId="034DB238" w14:textId="77777777" w:rsidR="004011DE" w:rsidRPr="004011DE" w:rsidRDefault="004011DE" w:rsidP="004011DE">
      <w:pPr>
        <w:pStyle w:val="GvdeMetni"/>
        <w:jc w:val="both"/>
      </w:pPr>
      <w:r w:rsidRPr="004011DE">
        <w:t xml:space="preserve">Gıda üretimi ve ticaretinin büyümesi; seri üretim, ambalajlama, dağıtım ve formülasyon gibi süreçleri karmaşık hale getirmiştir. Bu durum, gıda kaynaklı olumsuzlukların daha geniş toplulukları etkileyebilme riskini artırır. Bu nedenle </w:t>
      </w:r>
      <w:proofErr w:type="gramStart"/>
      <w:r w:rsidRPr="004011DE">
        <w:t>mevzuat;</w:t>
      </w:r>
      <w:proofErr w:type="gramEnd"/>
      <w:r w:rsidRPr="004011DE">
        <w:t xml:space="preserve"> hem insan sağlığını korumak hem de sektörde adil rekabeti sağlamak için gereklidir.</w:t>
      </w:r>
    </w:p>
    <w:p w14:paraId="532683EE" w14:textId="5986BDEB" w:rsidR="004011DE" w:rsidRPr="004011DE" w:rsidRDefault="004011DE" w:rsidP="004011DE">
      <w:pPr>
        <w:pStyle w:val="GvdeMetni"/>
        <w:jc w:val="both"/>
        <w:rPr>
          <w:b/>
          <w:bCs/>
        </w:rPr>
      </w:pPr>
      <w:r w:rsidRPr="004011DE">
        <w:rPr>
          <w:b/>
          <w:bCs/>
        </w:rPr>
        <w:t>Gıda Mevzuatının Tanımı ve Kapsamı</w:t>
      </w:r>
    </w:p>
    <w:p w14:paraId="28015F95" w14:textId="77777777" w:rsidR="004011DE" w:rsidRPr="004011DE" w:rsidRDefault="004011DE" w:rsidP="004011DE">
      <w:pPr>
        <w:pStyle w:val="GvdeMetni"/>
        <w:jc w:val="both"/>
      </w:pPr>
      <w:r w:rsidRPr="004011DE">
        <w:t>Gıda mevzuatı; gıdanın üretimi, satışı, bileşimi, hijyen koşulları, asgari kalite kriterleri ve aykırılıklara uygulanacak yaptırımları düzenleyen kanun/yönetmelik/tebliğlerden oluşur.</w:t>
      </w:r>
    </w:p>
    <w:p w14:paraId="785D3F9F" w14:textId="2130C920" w:rsidR="004011DE" w:rsidRPr="004011DE" w:rsidRDefault="004011DE" w:rsidP="004011DE">
      <w:pPr>
        <w:pStyle w:val="GvdeMetni"/>
        <w:jc w:val="both"/>
        <w:rPr>
          <w:b/>
          <w:bCs/>
        </w:rPr>
      </w:pPr>
      <w:r w:rsidRPr="004011DE">
        <w:rPr>
          <w:b/>
          <w:bCs/>
        </w:rPr>
        <w:t>Gıda Mevzuatının Temel Amaçları</w:t>
      </w:r>
    </w:p>
    <w:p w14:paraId="48FCCF22" w14:textId="77777777" w:rsidR="004011DE" w:rsidRPr="004011DE" w:rsidRDefault="004011DE" w:rsidP="004011DE">
      <w:pPr>
        <w:pStyle w:val="GvdeMetni"/>
        <w:jc w:val="both"/>
      </w:pPr>
      <w:r w:rsidRPr="004011DE">
        <w:t>Gıda güvenliğini sağlamak</w:t>
      </w:r>
    </w:p>
    <w:p w14:paraId="01631D1F" w14:textId="77777777" w:rsidR="004011DE" w:rsidRPr="004011DE" w:rsidRDefault="004011DE" w:rsidP="004011DE">
      <w:pPr>
        <w:pStyle w:val="GvdeMetni"/>
        <w:jc w:val="both"/>
      </w:pPr>
      <w:r w:rsidRPr="004011DE">
        <w:t>Hileyi ve haksız rekabeti önlemek, hijyenik üretimi desteklemek</w:t>
      </w:r>
    </w:p>
    <w:p w14:paraId="67795B96" w14:textId="77777777" w:rsidR="004011DE" w:rsidRPr="004011DE" w:rsidRDefault="004011DE" w:rsidP="004011DE">
      <w:pPr>
        <w:pStyle w:val="GvdeMetni"/>
        <w:jc w:val="both"/>
      </w:pPr>
      <w:r w:rsidRPr="004011DE">
        <w:t>Kaliteli ve güvenli gıda üretimini teşvik etmek</w:t>
      </w:r>
    </w:p>
    <w:p w14:paraId="71687F57" w14:textId="77777777" w:rsidR="004011DE" w:rsidRPr="004011DE" w:rsidRDefault="004011DE" w:rsidP="004011DE">
      <w:pPr>
        <w:pStyle w:val="GvdeMetni"/>
        <w:jc w:val="both"/>
      </w:pPr>
      <w:r w:rsidRPr="004011DE">
        <w:t>Hatalı üretim kaynaklı kayıpları azaltmak</w:t>
      </w:r>
    </w:p>
    <w:p w14:paraId="41CE9E11" w14:textId="77777777" w:rsidR="004011DE" w:rsidRPr="004011DE" w:rsidRDefault="004011DE" w:rsidP="004011DE">
      <w:pPr>
        <w:pStyle w:val="GvdeMetni"/>
        <w:jc w:val="both"/>
      </w:pPr>
      <w:r w:rsidRPr="004011DE">
        <w:t>Ulusal/uluslararası rekabet gücünü artırmak</w:t>
      </w:r>
    </w:p>
    <w:p w14:paraId="53024C18" w14:textId="77777777" w:rsidR="004011DE" w:rsidRPr="004011DE" w:rsidRDefault="004011DE" w:rsidP="004011DE">
      <w:pPr>
        <w:pStyle w:val="GvdeMetni"/>
        <w:jc w:val="both"/>
      </w:pPr>
      <w:r w:rsidRPr="004011DE">
        <w:t>Sektörün ülke ekonomisine katkısını yükseltmek</w:t>
      </w:r>
    </w:p>
    <w:p w14:paraId="7707D20E" w14:textId="67A0818D" w:rsidR="004011DE" w:rsidRPr="004011DE" w:rsidRDefault="004011DE" w:rsidP="004011DE">
      <w:pPr>
        <w:pStyle w:val="GvdeMetni"/>
        <w:jc w:val="both"/>
      </w:pPr>
      <w:r w:rsidRPr="004011DE">
        <w:t>Yetkili Kurum Yapısındaki Değişim</w:t>
      </w:r>
    </w:p>
    <w:p w14:paraId="134A6428" w14:textId="77777777" w:rsidR="004011DE" w:rsidRPr="004011DE" w:rsidRDefault="004011DE" w:rsidP="004011DE">
      <w:pPr>
        <w:pStyle w:val="GvdeMetni"/>
        <w:jc w:val="both"/>
      </w:pPr>
      <w:r w:rsidRPr="004011DE">
        <w:t>Türkiye’de geçmişte farklı kurumların birlikte yürüttüğü gıda hizmetleri, 5996 sayılı Kanun ile tek yetkili yapı altında toplanmış ve Tarım ve Köy İşleri Bakanlığı (güncel adıyla ilgili bakanlık) yetkilendirilmiştir.</w:t>
      </w:r>
    </w:p>
    <w:p w14:paraId="1E0BD975" w14:textId="6CCF7936" w:rsidR="004011DE" w:rsidRPr="004011DE" w:rsidRDefault="004011DE" w:rsidP="004011DE">
      <w:pPr>
        <w:pStyle w:val="GvdeMetni"/>
        <w:jc w:val="both"/>
        <w:rPr>
          <w:b/>
          <w:bCs/>
        </w:rPr>
      </w:pPr>
      <w:r w:rsidRPr="004011DE">
        <w:rPr>
          <w:b/>
          <w:bCs/>
        </w:rPr>
        <w:t xml:space="preserve">Katkı Maddesi Sayılmayan Bazı Maddeler </w:t>
      </w:r>
    </w:p>
    <w:p w14:paraId="53749871" w14:textId="32663CD8" w:rsidR="004011DE" w:rsidRDefault="004011DE" w:rsidP="004011DE">
      <w:pPr>
        <w:pStyle w:val="GvdeMetni"/>
        <w:jc w:val="both"/>
      </w:pPr>
      <w:r w:rsidRPr="004011DE">
        <w:t>Şekerler, bazı aroma/çeşni maddeleri, ambalajlama–kaplama malzemeleri, pektin türevleri, bazı nişasta türevleri, belirli aminoasitler ve tuzları, bazı protein türevleri vb. bazı gruplar belirli koşullarda “katkı maddesi” sınıfında değerlendirilmez. Diğer katkıların sınıflaması ve limitleri Türk Gıda Kodeksi’nde yer alır.</w:t>
      </w:r>
    </w:p>
    <w:p w14:paraId="2228FDA1" w14:textId="77777777" w:rsidR="004011DE" w:rsidRDefault="004011DE" w:rsidP="004011DE">
      <w:pPr>
        <w:pStyle w:val="GvdeMetni"/>
        <w:jc w:val="both"/>
      </w:pPr>
    </w:p>
    <w:p w14:paraId="5FA10D36" w14:textId="77777777" w:rsidR="004011DE" w:rsidRDefault="004011DE" w:rsidP="004011DE">
      <w:pPr>
        <w:pStyle w:val="GvdeMetni"/>
        <w:jc w:val="both"/>
        <w:rPr>
          <w:b/>
          <w:bCs/>
        </w:rPr>
      </w:pPr>
      <w:r w:rsidRPr="004011DE">
        <w:rPr>
          <w:b/>
          <w:bCs/>
        </w:rPr>
        <w:t>Süt ve Süt Ürünlerinin Toksikolojik Analizleri</w:t>
      </w:r>
    </w:p>
    <w:p w14:paraId="4084CBCD" w14:textId="720B9917" w:rsidR="004011DE" w:rsidRPr="00246C1A" w:rsidRDefault="00246C1A" w:rsidP="004011DE">
      <w:pPr>
        <w:pStyle w:val="GvdeMetni"/>
        <w:jc w:val="both"/>
        <w:rPr>
          <w:b/>
          <w:bCs/>
        </w:rPr>
      </w:pPr>
      <w:r w:rsidRPr="00246C1A">
        <w:rPr>
          <w:b/>
          <w:bCs/>
        </w:rPr>
        <w:t>1.</w:t>
      </w:r>
      <w:r w:rsidR="004011DE" w:rsidRPr="00246C1A">
        <w:rPr>
          <w:b/>
          <w:bCs/>
        </w:rPr>
        <w:t>Süte Katılan İstenmeyen Maddeler</w:t>
      </w:r>
    </w:p>
    <w:p w14:paraId="1687D516" w14:textId="77777777" w:rsidR="004011DE" w:rsidRDefault="004011DE" w:rsidP="004011DE">
      <w:pPr>
        <w:pStyle w:val="GvdeMetni"/>
        <w:jc w:val="both"/>
      </w:pPr>
      <w:r>
        <w:t>Türk Gıda Kodeksi’ne göre süte katkı maddesi eklenmesi yasaktır. Ancak uygulamada bazı maddeler hile amaçlı eklenebilir:</w:t>
      </w:r>
    </w:p>
    <w:p w14:paraId="33EEEA6C" w14:textId="77777777" w:rsidR="004011DE" w:rsidRDefault="004011DE" w:rsidP="004011DE">
      <w:pPr>
        <w:pStyle w:val="GvdeMetni"/>
        <w:jc w:val="both"/>
      </w:pPr>
      <w:r>
        <w:t>a) Karbonat ve bikarbonatlar (örn. NaHCO₃)</w:t>
      </w:r>
    </w:p>
    <w:p w14:paraId="0121C269" w14:textId="77777777" w:rsidR="004011DE" w:rsidRDefault="004011DE" w:rsidP="004011DE">
      <w:pPr>
        <w:pStyle w:val="GvdeMetni"/>
        <w:jc w:val="both"/>
      </w:pPr>
      <w:r>
        <w:t>Sütte oluşan laktik asidi nötralize ederek pıhtılaşmayı geciktirir.</w:t>
      </w:r>
    </w:p>
    <w:p w14:paraId="387AE3C9" w14:textId="77777777" w:rsidR="004011DE" w:rsidRDefault="004011DE" w:rsidP="004011DE">
      <w:pPr>
        <w:pStyle w:val="GvdeMetni"/>
        <w:jc w:val="both"/>
      </w:pPr>
      <w:r>
        <w:t>Peynir üretiminde starter kültürün istenen asitliği oluşturmasını engelleyebilir.</w:t>
      </w:r>
    </w:p>
    <w:p w14:paraId="45E5D826" w14:textId="77777777" w:rsidR="004011DE" w:rsidRDefault="004011DE" w:rsidP="004011DE">
      <w:pPr>
        <w:pStyle w:val="GvdeMetni"/>
        <w:jc w:val="both"/>
      </w:pPr>
      <w:r>
        <w:t>Proteolitik bakteriler için daha uygun ortam oluşturabilir.</w:t>
      </w:r>
    </w:p>
    <w:p w14:paraId="6CC0139C" w14:textId="77777777" w:rsidR="004011DE" w:rsidRDefault="004011DE" w:rsidP="004011DE">
      <w:pPr>
        <w:pStyle w:val="GvdeMetni"/>
        <w:jc w:val="both"/>
      </w:pPr>
      <w:r>
        <w:t>Genellikle sıcak aylarda sütün kesilmesini geciktirmek için eklenir.</w:t>
      </w:r>
    </w:p>
    <w:p w14:paraId="38C38D6B" w14:textId="77777777" w:rsidR="004011DE" w:rsidRDefault="004011DE" w:rsidP="004011DE">
      <w:pPr>
        <w:pStyle w:val="GvdeMetni"/>
        <w:jc w:val="both"/>
      </w:pPr>
      <w:r>
        <w:t>b) Formaldehit</w:t>
      </w:r>
    </w:p>
    <w:p w14:paraId="62C93BCB" w14:textId="77777777" w:rsidR="004011DE" w:rsidRDefault="004011DE" w:rsidP="004011DE">
      <w:pPr>
        <w:pStyle w:val="GvdeMetni"/>
        <w:jc w:val="both"/>
      </w:pPr>
      <w:r>
        <w:t>Antiseptik özellikte aldehit olup IARC tarafından Grup 1 kanserojen olarak sınıflandırılmıştır.</w:t>
      </w:r>
    </w:p>
    <w:p w14:paraId="10959765" w14:textId="77777777" w:rsidR="004011DE" w:rsidRDefault="004011DE" w:rsidP="004011DE">
      <w:pPr>
        <w:pStyle w:val="GvdeMetni"/>
        <w:jc w:val="both"/>
      </w:pPr>
      <w:r>
        <w:t>Sütün asitliğini azaltma ve protein yıkımını yavaşlatma amacıyla kötüye kullanılabilir.</w:t>
      </w:r>
    </w:p>
    <w:p w14:paraId="33E87B8C" w14:textId="77777777" w:rsidR="004011DE" w:rsidRDefault="004011DE" w:rsidP="004011DE">
      <w:pPr>
        <w:pStyle w:val="GvdeMetni"/>
        <w:jc w:val="both"/>
      </w:pPr>
      <w:r>
        <w:t>Yüksek miktarlarda keskin koku ile fark edilebilir.</w:t>
      </w:r>
    </w:p>
    <w:p w14:paraId="216D07CD" w14:textId="77777777" w:rsidR="004011DE" w:rsidRDefault="004011DE" w:rsidP="004011DE">
      <w:pPr>
        <w:pStyle w:val="GvdeMetni"/>
        <w:jc w:val="both"/>
      </w:pPr>
      <w:r>
        <w:t>c) Hidrojen peroksit (H₂O₂)</w:t>
      </w:r>
    </w:p>
    <w:p w14:paraId="6530B0D2" w14:textId="77777777" w:rsidR="004011DE" w:rsidRDefault="004011DE" w:rsidP="004011DE">
      <w:pPr>
        <w:pStyle w:val="GvdeMetni"/>
        <w:jc w:val="both"/>
      </w:pPr>
      <w:r>
        <w:t>Oksitleyici ve mikrobisidal özellik taşır.</w:t>
      </w:r>
    </w:p>
    <w:p w14:paraId="484486D3" w14:textId="77777777" w:rsidR="004011DE" w:rsidRDefault="004011DE" w:rsidP="004011DE">
      <w:pPr>
        <w:pStyle w:val="GvdeMetni"/>
        <w:jc w:val="both"/>
      </w:pPr>
      <w:r>
        <w:lastRenderedPageBreak/>
        <w:t>Düşük düzeylerde süt bileşenlerine etkisi sınırlı iken, yüksek düzeylerde bazı aminoasitleri (özellikle metiyonin, tirozin, triptofan) okside ederek protein kalitesini düşürebilir.</w:t>
      </w:r>
    </w:p>
    <w:p w14:paraId="655C2437" w14:textId="77777777" w:rsidR="004011DE" w:rsidRDefault="004011DE" w:rsidP="004011DE">
      <w:pPr>
        <w:pStyle w:val="GvdeMetni"/>
        <w:jc w:val="both"/>
      </w:pPr>
      <w:r>
        <w:t>C vitamini (askorbik asit) daha fazla etkilenebilir.</w:t>
      </w:r>
    </w:p>
    <w:p w14:paraId="0F4239E4" w14:textId="77777777" w:rsidR="004011DE" w:rsidRDefault="004011DE" w:rsidP="004011DE">
      <w:pPr>
        <w:pStyle w:val="GvdeMetni"/>
        <w:jc w:val="both"/>
      </w:pPr>
      <w:r>
        <w:t>d) Diğerleri</w:t>
      </w:r>
    </w:p>
    <w:p w14:paraId="55803082" w14:textId="77777777" w:rsidR="004011DE" w:rsidRDefault="004011DE" w:rsidP="004011DE">
      <w:pPr>
        <w:pStyle w:val="GvdeMetni"/>
        <w:jc w:val="both"/>
      </w:pPr>
      <w:r>
        <w:t>Bazı durumlarda salisilik asit veya borik asit gibi maddeler de eklenebilir.</w:t>
      </w:r>
    </w:p>
    <w:p w14:paraId="58C3E05D" w14:textId="46330933" w:rsidR="004011DE" w:rsidRDefault="004011DE" w:rsidP="004011DE">
      <w:pPr>
        <w:pStyle w:val="GvdeMetni"/>
        <w:jc w:val="both"/>
      </w:pPr>
      <w:r w:rsidRPr="004011DE">
        <w:rPr>
          <w:b/>
          <w:bCs/>
        </w:rPr>
        <w:t>Süt ve Süt Ürünlerinde Kalite Kontrolleri</w:t>
      </w:r>
    </w:p>
    <w:p w14:paraId="5BA173A4" w14:textId="77777777" w:rsidR="004011DE" w:rsidRDefault="004011DE" w:rsidP="004011DE">
      <w:pPr>
        <w:pStyle w:val="GvdeMetni"/>
        <w:jc w:val="both"/>
      </w:pPr>
      <w:r>
        <w:t>Doğru analiz için numune tekniğe uygun alınmalıdır (ilgili tebliğlerde örnek alma yöntemi tanımlıdır). Numune alımında tutanak düzenlenip imzalanır.</w:t>
      </w:r>
    </w:p>
    <w:p w14:paraId="78932743" w14:textId="77777777" w:rsidR="004011DE" w:rsidRDefault="004011DE" w:rsidP="004011DE">
      <w:pPr>
        <w:pStyle w:val="GvdeMetni"/>
        <w:jc w:val="both"/>
      </w:pPr>
      <w:r>
        <w:t>Değerlendirmede genel olarak şu analizler yapılır:</w:t>
      </w:r>
    </w:p>
    <w:p w14:paraId="44513E43" w14:textId="77777777" w:rsidR="004011DE" w:rsidRDefault="004011DE" w:rsidP="004011DE">
      <w:pPr>
        <w:pStyle w:val="GvdeMetni"/>
        <w:jc w:val="both"/>
      </w:pPr>
      <w:r>
        <w:t>Duyusal (organoleptik) inceleme: renk, koku, tat, kıvam, görünüş</w:t>
      </w:r>
    </w:p>
    <w:p w14:paraId="3A78851D" w14:textId="77777777" w:rsidR="004011DE" w:rsidRDefault="004011DE" w:rsidP="004011DE">
      <w:pPr>
        <w:pStyle w:val="GvdeMetni"/>
        <w:jc w:val="both"/>
      </w:pPr>
      <w:r>
        <w:t>Fiziksel analizler: özgül ağırlık, donma noktası, pH, viskozite vb.</w:t>
      </w:r>
    </w:p>
    <w:p w14:paraId="1B80CC96" w14:textId="77777777" w:rsidR="004011DE" w:rsidRDefault="004011DE" w:rsidP="004011DE">
      <w:pPr>
        <w:pStyle w:val="GvdeMetni"/>
        <w:jc w:val="both"/>
      </w:pPr>
      <w:r>
        <w:t>Kimyasal analizler: asitlik, yağ, kuru madde, yabancı madde/preservatif aranması vb.</w:t>
      </w:r>
    </w:p>
    <w:p w14:paraId="10135BFE" w14:textId="65EE6284" w:rsidR="004011DE" w:rsidRDefault="004011DE" w:rsidP="004011DE">
      <w:pPr>
        <w:pStyle w:val="GvdeMetni"/>
        <w:jc w:val="both"/>
      </w:pPr>
      <w:r>
        <w:t>Mikrobiyolojik analizler</w:t>
      </w:r>
      <w:r w:rsidR="00246C1A">
        <w:t>.</w:t>
      </w:r>
    </w:p>
    <w:p w14:paraId="230C4B37" w14:textId="77777777" w:rsidR="00246C1A" w:rsidRDefault="00246C1A" w:rsidP="004011DE">
      <w:pPr>
        <w:pStyle w:val="GvdeMetni"/>
        <w:jc w:val="both"/>
      </w:pPr>
    </w:p>
    <w:p w14:paraId="6A0A0CCC" w14:textId="2B960F25" w:rsidR="00246C1A" w:rsidRPr="00246C1A" w:rsidRDefault="00246C1A" w:rsidP="00246C1A">
      <w:pPr>
        <w:pStyle w:val="GvdeMetni"/>
        <w:jc w:val="both"/>
        <w:rPr>
          <w:b/>
          <w:bCs/>
        </w:rPr>
      </w:pPr>
      <w:r>
        <w:rPr>
          <w:b/>
          <w:bCs/>
        </w:rPr>
        <w:t xml:space="preserve">1. </w:t>
      </w:r>
      <w:r w:rsidRPr="00246C1A">
        <w:rPr>
          <w:b/>
          <w:bCs/>
        </w:rPr>
        <w:t>Sütte Salisilik Asit Aranması</w:t>
      </w:r>
    </w:p>
    <w:p w14:paraId="09535DD9" w14:textId="632B9802" w:rsidR="00246C1A" w:rsidRDefault="00246C1A" w:rsidP="00246C1A">
      <w:pPr>
        <w:pStyle w:val="GvdeMetni"/>
        <w:jc w:val="both"/>
      </w:pPr>
      <w:r>
        <w:t>Prensip: Salisilik asit fenolik yapı içerir. Örnekten organik çözücüyle (eter) ayrıldıktan sonra Fe³⁺ (FeCl₃) ile reaksiyona girerek mor/viyole renkli kompleks oluşturur. Bu renk oluşumu salisilik asit varlığına işaret eder.</w:t>
      </w:r>
    </w:p>
    <w:p w14:paraId="739C723A" w14:textId="77777777" w:rsidR="00246C1A" w:rsidRDefault="00246C1A" w:rsidP="00246C1A">
      <w:pPr>
        <w:pStyle w:val="GvdeMetni"/>
        <w:jc w:val="both"/>
      </w:pPr>
      <w:r>
        <w:t>Uygulama</w:t>
      </w:r>
    </w:p>
    <w:p w14:paraId="7EC25839" w14:textId="77777777" w:rsidR="00246C1A" w:rsidRDefault="00246C1A" w:rsidP="007E4075">
      <w:pPr>
        <w:pStyle w:val="GvdeMetni"/>
        <w:numPr>
          <w:ilvl w:val="0"/>
          <w:numId w:val="17"/>
        </w:numPr>
        <w:jc w:val="both"/>
      </w:pPr>
      <w:r>
        <w:t>Yaklaşık 5 mL süt erlene alınır; birkaç damla HCl ile asitlendirilir, pıhtı oluşana kadar çalkalanır ve pilili süzgeç kâğıdı ile süzülür.</w:t>
      </w:r>
    </w:p>
    <w:p w14:paraId="4F5E472F" w14:textId="77777777" w:rsidR="00246C1A" w:rsidRDefault="00246C1A" w:rsidP="007E4075">
      <w:pPr>
        <w:pStyle w:val="GvdeMetni"/>
        <w:numPr>
          <w:ilvl w:val="0"/>
          <w:numId w:val="17"/>
        </w:numPr>
        <w:jc w:val="both"/>
      </w:pPr>
      <w:r>
        <w:t>Süzüntü yaklaşık 10 mL eter ile ekstrakte edilir.</w:t>
      </w:r>
    </w:p>
    <w:p w14:paraId="4C1C8557" w14:textId="77777777" w:rsidR="00246C1A" w:rsidRDefault="00246C1A" w:rsidP="007E4075">
      <w:pPr>
        <w:pStyle w:val="GvdeMetni"/>
        <w:numPr>
          <w:ilvl w:val="0"/>
          <w:numId w:val="17"/>
        </w:numPr>
        <w:jc w:val="both"/>
      </w:pPr>
      <w:r>
        <w:t>Eter fazı porselen kapsüle alınır ve su banyosunda çözücü uçurulur.</w:t>
      </w:r>
    </w:p>
    <w:p w14:paraId="5500DFC7" w14:textId="77777777" w:rsidR="00246C1A" w:rsidRDefault="00246C1A" w:rsidP="007E4075">
      <w:pPr>
        <w:pStyle w:val="GvdeMetni"/>
        <w:numPr>
          <w:ilvl w:val="0"/>
          <w:numId w:val="17"/>
        </w:numPr>
        <w:jc w:val="both"/>
      </w:pPr>
      <w:r>
        <w:t>Kapsülde birkaç damla kalınca, kalıntıya %3 FeCl₃’ten 1–2 damla damlatılır.</w:t>
      </w:r>
    </w:p>
    <w:p w14:paraId="13968E39" w14:textId="1374F121" w:rsidR="00246C1A" w:rsidRDefault="00246C1A" w:rsidP="00246C1A">
      <w:pPr>
        <w:pStyle w:val="GvdeMetni"/>
        <w:jc w:val="both"/>
      </w:pPr>
      <w:r>
        <w:t>Viyole renk → salisilik asit pozitif.</w:t>
      </w:r>
    </w:p>
    <w:p w14:paraId="0AD005A3" w14:textId="77777777" w:rsidR="007E4075" w:rsidRDefault="007E4075" w:rsidP="00246C1A">
      <w:pPr>
        <w:pStyle w:val="GvdeMetni"/>
        <w:jc w:val="both"/>
      </w:pPr>
    </w:p>
    <w:p w14:paraId="2EA4F60C" w14:textId="495FC2D5" w:rsidR="007E4075" w:rsidRPr="007E4075" w:rsidRDefault="007E4075" w:rsidP="007E4075">
      <w:pPr>
        <w:pStyle w:val="GvdeMetni"/>
        <w:jc w:val="both"/>
        <w:rPr>
          <w:b/>
          <w:bCs/>
        </w:rPr>
      </w:pPr>
      <w:r w:rsidRPr="007E4075">
        <w:rPr>
          <w:b/>
          <w:bCs/>
        </w:rPr>
        <w:t xml:space="preserve"> 2.Sütte Formaldehit (Formol) Aranması</w:t>
      </w:r>
    </w:p>
    <w:p w14:paraId="0DE07934" w14:textId="77777777" w:rsidR="007E4075" w:rsidRDefault="007E4075" w:rsidP="007E4075">
      <w:pPr>
        <w:pStyle w:val="GvdeMetni"/>
        <w:jc w:val="both"/>
      </w:pPr>
      <w:r>
        <w:t>Formaldehit, gıdaların dezenfeksiyonunda kullanılabilen, antiseptik etkisi güçlü bir maddedir. Ancak süte katıldığında kazeinin çözünürlüğünü azaltabilir ve sindirimi zorlaştırabilir.</w:t>
      </w:r>
    </w:p>
    <w:p w14:paraId="6469D113" w14:textId="77777777" w:rsidR="007E4075" w:rsidRDefault="007E4075" w:rsidP="007E4075">
      <w:pPr>
        <w:pStyle w:val="GvdeMetni"/>
        <w:jc w:val="both"/>
      </w:pPr>
      <w:r>
        <w:t>Leach testi – uygulama:</w:t>
      </w:r>
    </w:p>
    <w:p w14:paraId="2B48FB13" w14:textId="77777777" w:rsidR="007E4075" w:rsidRDefault="007E4075" w:rsidP="007E4075">
      <w:pPr>
        <w:pStyle w:val="GvdeMetni"/>
        <w:jc w:val="both"/>
      </w:pPr>
      <w:r>
        <w:t>Deney tüpüne 2 mL süt alınır.</w:t>
      </w:r>
    </w:p>
    <w:p w14:paraId="6421E782" w14:textId="77777777" w:rsidR="007E4075" w:rsidRDefault="007E4075" w:rsidP="007E4075">
      <w:pPr>
        <w:pStyle w:val="GvdeMetni"/>
        <w:jc w:val="both"/>
      </w:pPr>
      <w:r>
        <w:t>Üzerine 4–5 damla Nessler reaktifi damlatılır.</w:t>
      </w:r>
    </w:p>
    <w:p w14:paraId="43F7026E" w14:textId="77777777" w:rsidR="007E4075" w:rsidRDefault="007E4075" w:rsidP="007E4075">
      <w:pPr>
        <w:pStyle w:val="GvdeMetni"/>
        <w:jc w:val="both"/>
      </w:pPr>
      <w:r>
        <w:t>Gri-siyah renk oluşması, formaldehit varlığına işaret eder.</w:t>
      </w:r>
    </w:p>
    <w:p w14:paraId="7625180A" w14:textId="77777777" w:rsidR="007E4075" w:rsidRDefault="007E4075" w:rsidP="007E4075">
      <w:pPr>
        <w:pStyle w:val="GvdeMetni"/>
        <w:jc w:val="both"/>
      </w:pPr>
    </w:p>
    <w:p w14:paraId="5BA4FDDD" w14:textId="22D09513" w:rsidR="004771C2" w:rsidRPr="004771C2" w:rsidRDefault="001663F2" w:rsidP="004771C2">
      <w:pPr>
        <w:pStyle w:val="GvdeMetni"/>
        <w:jc w:val="both"/>
        <w:rPr>
          <w:b/>
          <w:bCs/>
        </w:rPr>
      </w:pPr>
      <w:r>
        <w:rPr>
          <w:b/>
          <w:bCs/>
        </w:rPr>
        <w:t>3</w:t>
      </w:r>
      <w:r w:rsidR="004771C2" w:rsidRPr="004771C2">
        <w:rPr>
          <w:b/>
          <w:bCs/>
        </w:rPr>
        <w:t>.Yoğurtta Nişasta Aranması</w:t>
      </w:r>
    </w:p>
    <w:p w14:paraId="63ABE6D1" w14:textId="511DC181" w:rsidR="004771C2" w:rsidRDefault="004771C2" w:rsidP="004771C2">
      <w:pPr>
        <w:pStyle w:val="GvdeMetni"/>
        <w:jc w:val="both"/>
      </w:pPr>
      <w:r>
        <w:t xml:space="preserve">Prensip </w:t>
      </w:r>
    </w:p>
    <w:p w14:paraId="50C45EB0" w14:textId="77777777" w:rsidR="004771C2" w:rsidRDefault="004771C2" w:rsidP="004771C2">
      <w:pPr>
        <w:pStyle w:val="GvdeMetni"/>
        <w:jc w:val="both"/>
      </w:pPr>
      <w:r>
        <w:t>Lugol çözeltisindeki iyot, nişastanın özellikle amiloz kısmıyla kompleks oluşturur. Bu kompleks mavi/mor renk verir; nişasta yoksa belirgin mavi renk oluşmaz ve karışım sarımsı görünür.</w:t>
      </w:r>
    </w:p>
    <w:p w14:paraId="52FAE9DE" w14:textId="77777777" w:rsidR="004771C2" w:rsidRDefault="004771C2" w:rsidP="004771C2">
      <w:pPr>
        <w:pStyle w:val="GvdeMetni"/>
        <w:jc w:val="both"/>
      </w:pPr>
      <w:r>
        <w:t>Uygulama</w:t>
      </w:r>
    </w:p>
    <w:p w14:paraId="0E4F101D" w14:textId="77777777" w:rsidR="004771C2" w:rsidRDefault="004771C2" w:rsidP="004771C2">
      <w:pPr>
        <w:pStyle w:val="GvdeMetni"/>
        <w:numPr>
          <w:ilvl w:val="0"/>
          <w:numId w:val="19"/>
        </w:numPr>
        <w:jc w:val="both"/>
      </w:pPr>
      <w:r>
        <w:t>Deney tüpüne 2–3 mL yoğurt alınır, üzerine 2–3 mL distile su eklenir.</w:t>
      </w:r>
    </w:p>
    <w:p w14:paraId="02CD720F" w14:textId="77777777" w:rsidR="004771C2" w:rsidRDefault="004771C2" w:rsidP="004771C2">
      <w:pPr>
        <w:pStyle w:val="GvdeMetni"/>
        <w:numPr>
          <w:ilvl w:val="0"/>
          <w:numId w:val="19"/>
        </w:numPr>
        <w:jc w:val="both"/>
      </w:pPr>
      <w:r>
        <w:t>Bagetle karıştırılarak ayran kıvamı elde edilir.</w:t>
      </w:r>
    </w:p>
    <w:p w14:paraId="165EBDA3" w14:textId="77777777" w:rsidR="004771C2" w:rsidRDefault="004771C2" w:rsidP="004771C2">
      <w:pPr>
        <w:pStyle w:val="GvdeMetni"/>
        <w:numPr>
          <w:ilvl w:val="0"/>
          <w:numId w:val="19"/>
        </w:numPr>
        <w:jc w:val="both"/>
      </w:pPr>
      <w:r>
        <w:t>2–3 damla Lugol damlatılır, karıştırılır.</w:t>
      </w:r>
    </w:p>
    <w:p w14:paraId="002CB305" w14:textId="77777777" w:rsidR="004771C2" w:rsidRDefault="004771C2" w:rsidP="004771C2">
      <w:pPr>
        <w:pStyle w:val="GvdeMetni"/>
        <w:jc w:val="both"/>
      </w:pPr>
      <w:r>
        <w:t>Mavi/mor renk → nişasta pozitif.</w:t>
      </w:r>
    </w:p>
    <w:p w14:paraId="591E8A8D" w14:textId="1CAB93AD" w:rsidR="004771C2" w:rsidRDefault="004771C2" w:rsidP="004771C2">
      <w:pPr>
        <w:pStyle w:val="GvdeMetni"/>
        <w:jc w:val="both"/>
      </w:pPr>
      <w:r>
        <w:t>Sarı tonlar → nişasta negatif.</w:t>
      </w:r>
    </w:p>
    <w:p w14:paraId="7D1E19A0" w14:textId="77777777" w:rsidR="004771C2" w:rsidRDefault="004771C2" w:rsidP="007E4075">
      <w:pPr>
        <w:pStyle w:val="GvdeMetni"/>
        <w:jc w:val="both"/>
      </w:pPr>
    </w:p>
    <w:p w14:paraId="126CE7D0" w14:textId="77777777" w:rsidR="004771C2" w:rsidRDefault="004771C2" w:rsidP="007E4075">
      <w:pPr>
        <w:pStyle w:val="GvdeMetni"/>
        <w:jc w:val="both"/>
      </w:pPr>
    </w:p>
    <w:p w14:paraId="34E54AA4" w14:textId="77777777" w:rsidR="004771C2" w:rsidRDefault="004771C2" w:rsidP="007E4075">
      <w:pPr>
        <w:pStyle w:val="GvdeMetni"/>
        <w:jc w:val="both"/>
      </w:pPr>
    </w:p>
    <w:p w14:paraId="0A5BDB41" w14:textId="77777777" w:rsidR="004771C2" w:rsidRDefault="004771C2" w:rsidP="007E4075">
      <w:pPr>
        <w:pStyle w:val="GvdeMetni"/>
        <w:jc w:val="both"/>
      </w:pPr>
    </w:p>
    <w:p w14:paraId="20F32B33" w14:textId="77777777" w:rsidR="004771C2" w:rsidRDefault="004771C2" w:rsidP="007E4075">
      <w:pPr>
        <w:pStyle w:val="GvdeMetni"/>
        <w:jc w:val="both"/>
      </w:pPr>
    </w:p>
    <w:p w14:paraId="07FE2E8F" w14:textId="638B56F5" w:rsidR="004771C2" w:rsidRPr="004771C2" w:rsidRDefault="004771C2" w:rsidP="004771C2">
      <w:pPr>
        <w:pStyle w:val="GvdeMetni"/>
        <w:jc w:val="both"/>
        <w:rPr>
          <w:b/>
          <w:bCs/>
        </w:rPr>
      </w:pPr>
      <w:r>
        <w:rPr>
          <w:b/>
          <w:bCs/>
        </w:rPr>
        <w:lastRenderedPageBreak/>
        <w:t xml:space="preserve">                     </w:t>
      </w:r>
      <w:r w:rsidRPr="004771C2">
        <w:rPr>
          <w:b/>
          <w:bCs/>
        </w:rPr>
        <w:t>ET ÜRÜNLERİNDE NİTRİTİN NİCEL TAYİNİ (Spektrofotometrik)</w:t>
      </w:r>
    </w:p>
    <w:p w14:paraId="3D4CD8B3" w14:textId="77777777" w:rsidR="004771C2" w:rsidRPr="004771C2" w:rsidRDefault="004771C2" w:rsidP="004771C2">
      <w:pPr>
        <w:pStyle w:val="GvdeMetni"/>
        <w:jc w:val="both"/>
        <w:rPr>
          <w:b/>
          <w:bCs/>
        </w:rPr>
      </w:pPr>
      <w:r w:rsidRPr="004771C2">
        <w:rPr>
          <w:b/>
          <w:bCs/>
        </w:rPr>
        <w:t>Yöntemin Prensibi</w:t>
      </w:r>
    </w:p>
    <w:p w14:paraId="20BEEDE2" w14:textId="60353298" w:rsidR="004771C2" w:rsidRPr="004771C2" w:rsidRDefault="004771C2" w:rsidP="004771C2">
      <w:pPr>
        <w:pStyle w:val="GvdeMetni"/>
        <w:jc w:val="both"/>
      </w:pPr>
      <w:r w:rsidRPr="004771C2">
        <w:t xml:space="preserve">Bu yöntemde nitrit, önce sülfanilik asit ile reaksiyona girerek diazo bileşiği oluşturur. Oluşan diazolanmış ürün, naftil </w:t>
      </w:r>
      <w:proofErr w:type="gramStart"/>
      <w:r w:rsidRPr="004771C2">
        <w:t>amin</w:t>
      </w:r>
      <w:proofErr w:type="gramEnd"/>
      <w:r w:rsidRPr="004771C2">
        <w:t xml:space="preserve"> HCl ile etkileşerek kırmızı–pembe renkli bir kompleks meydana getirir. Ortaya çıkan rengin şiddeti 520 nm’de ölçülür ve absorbans değeri nitrit miktarı ile ilişkilendirilerek nicel sonuç elde edilir</w:t>
      </w:r>
    </w:p>
    <w:p w14:paraId="39052C5A" w14:textId="77777777" w:rsidR="004771C2" w:rsidRPr="004771C2" w:rsidRDefault="004771C2" w:rsidP="004771C2">
      <w:pPr>
        <w:pStyle w:val="GvdeMetni"/>
        <w:jc w:val="both"/>
        <w:rPr>
          <w:b/>
          <w:bCs/>
        </w:rPr>
      </w:pPr>
      <w:r w:rsidRPr="004771C2">
        <w:rPr>
          <w:b/>
          <w:bCs/>
        </w:rPr>
        <w:t>Et Örneğinin Hazırlanması</w:t>
      </w:r>
    </w:p>
    <w:p w14:paraId="474CE014" w14:textId="77777777" w:rsidR="004771C2" w:rsidRPr="004771C2" w:rsidRDefault="004771C2" w:rsidP="004771C2">
      <w:pPr>
        <w:pStyle w:val="GvdeMetni"/>
        <w:numPr>
          <w:ilvl w:val="0"/>
          <w:numId w:val="20"/>
        </w:numPr>
        <w:jc w:val="both"/>
      </w:pPr>
      <w:r w:rsidRPr="004771C2">
        <w:t>İncelenecek etten yaklaşık 10 g alınır; spatül ile küçük parçalara ayrılır ve 250 mL’lik erlene aktarılır.</w:t>
      </w:r>
    </w:p>
    <w:p w14:paraId="27E4058D" w14:textId="77777777" w:rsidR="004771C2" w:rsidRPr="004771C2" w:rsidRDefault="004771C2" w:rsidP="004771C2">
      <w:pPr>
        <w:pStyle w:val="GvdeMetni"/>
        <w:numPr>
          <w:ilvl w:val="0"/>
          <w:numId w:val="20"/>
        </w:numPr>
        <w:jc w:val="both"/>
      </w:pPr>
      <w:r w:rsidRPr="004771C2">
        <w:t>Ortamı alkali yapmak için erlene 150 mL distile su ve %25’lik NaOH’den 6 damla eklenir.</w:t>
      </w:r>
    </w:p>
    <w:p w14:paraId="62128525" w14:textId="77777777" w:rsidR="004771C2" w:rsidRPr="004771C2" w:rsidRDefault="004771C2" w:rsidP="004771C2">
      <w:pPr>
        <w:pStyle w:val="GvdeMetni"/>
        <w:numPr>
          <w:ilvl w:val="0"/>
          <w:numId w:val="20"/>
        </w:numPr>
        <w:jc w:val="both"/>
      </w:pPr>
      <w:r w:rsidRPr="004771C2">
        <w:t>Karışım 30 dakika bekletilir; bu sırada aralıklı olarak çalkalanır. Süre sonunda pilili süzgeç kâğıdı ile süzülür ve elde edilen toplam süzüntü hacmi kaydedilir.</w:t>
      </w:r>
    </w:p>
    <w:p w14:paraId="479CBDDF" w14:textId="14E429CB" w:rsidR="004771C2" w:rsidRDefault="004771C2" w:rsidP="004771C2">
      <w:pPr>
        <w:pStyle w:val="GvdeMetni"/>
        <w:numPr>
          <w:ilvl w:val="0"/>
          <w:numId w:val="20"/>
        </w:numPr>
        <w:jc w:val="both"/>
        <w:rPr>
          <w:b/>
          <w:bCs/>
        </w:rPr>
      </w:pPr>
      <w:r w:rsidRPr="004771C2">
        <w:t>Süzüntüden 10 mL alınarak uzun bir deney tüpüne konur. Bu tüp analiz boyunca “örnek tüpü” olarak kullanılmak üzere ayrılır</w:t>
      </w:r>
      <w:r w:rsidRPr="004771C2">
        <w:rPr>
          <w:b/>
          <w:bCs/>
        </w:rPr>
        <w:t>.</w:t>
      </w:r>
    </w:p>
    <w:p w14:paraId="361801A3" w14:textId="77777777" w:rsidR="00F72862" w:rsidRPr="00F72862" w:rsidRDefault="00F72862" w:rsidP="00F72862">
      <w:pPr>
        <w:pStyle w:val="GvdeMetni"/>
        <w:numPr>
          <w:ilvl w:val="0"/>
          <w:numId w:val="20"/>
        </w:numPr>
        <w:jc w:val="both"/>
      </w:pPr>
      <w:r w:rsidRPr="00F72862">
        <w:t xml:space="preserve">Kenarda ayrılmış örnek tüpüne ve kör ile standart tüplere (1–3) sırasıyla 200 µL </w:t>
      </w:r>
      <w:bookmarkStart w:id="1" w:name="_Hlk219134358"/>
      <w:r w:rsidRPr="00F72862">
        <w:t>%0,5 EDTA ve 200 µL %0,5 sülfanilik asit</w:t>
      </w:r>
      <w:bookmarkEnd w:id="1"/>
      <w:r w:rsidRPr="00F72862">
        <w:t xml:space="preserve"> eklenir. Karıştırıldıktan sonra 5 dakika bekletilir.</w:t>
      </w:r>
    </w:p>
    <w:p w14:paraId="701CD5D7" w14:textId="77777777" w:rsidR="00F72862" w:rsidRPr="00F72862" w:rsidRDefault="00F72862" w:rsidP="00F72862">
      <w:pPr>
        <w:pStyle w:val="GvdeMetni"/>
        <w:numPr>
          <w:ilvl w:val="0"/>
          <w:numId w:val="20"/>
        </w:numPr>
        <w:jc w:val="both"/>
      </w:pPr>
      <w:r w:rsidRPr="00F72862">
        <w:t>Ardından aynı tüplere 200 µL naftilamin HCl ve 200 µL Na-asetat tamponu ilave edilir. Karıştırılır ve renk oluşumu için 10–15 dakika beklenir.</w:t>
      </w:r>
    </w:p>
    <w:p w14:paraId="1AE757D7" w14:textId="6B5881D7" w:rsidR="00F72862" w:rsidRPr="00F72862" w:rsidRDefault="00F72862" w:rsidP="00F72862">
      <w:pPr>
        <w:pStyle w:val="GvdeMetni"/>
        <w:numPr>
          <w:ilvl w:val="0"/>
          <w:numId w:val="20"/>
        </w:numPr>
        <w:jc w:val="both"/>
      </w:pPr>
      <w:r w:rsidRPr="00F72862">
        <w:t>Oluşan kırmızı–pembe rengin absorbansı, spektrofotometrede 520 nm dalga boyunda ölçülür.</w:t>
      </w:r>
    </w:p>
    <w:p w14:paraId="018902D9" w14:textId="77777777" w:rsidR="004771C2" w:rsidRPr="004771C2" w:rsidRDefault="004771C2" w:rsidP="004771C2">
      <w:pPr>
        <w:pStyle w:val="GvdeMetni"/>
        <w:jc w:val="both"/>
        <w:rPr>
          <w:b/>
          <w:bCs/>
        </w:rPr>
      </w:pPr>
      <w:r w:rsidRPr="004771C2">
        <w:rPr>
          <w:b/>
          <w:bCs/>
        </w:rPr>
        <w:t>Kör ve Standart Çözeltilerin Hazırlanması</w:t>
      </w:r>
    </w:p>
    <w:p w14:paraId="37CEC289" w14:textId="08C8DF0D" w:rsidR="004771C2" w:rsidRDefault="004771C2" w:rsidP="004771C2">
      <w:pPr>
        <w:pStyle w:val="GvdeMetni"/>
        <w:jc w:val="both"/>
      </w:pPr>
      <w:r w:rsidRPr="004771C2">
        <w:t>Önceden hazırlanmış 2. ara stok çözeltiden (50 µg/mL nitrit içeren) belirtilen hacimlerde alınır ve her bir tüpün hacmi nitrit içermeyen su ile 10 mL’ye tamamlanır. Böylece kör ve standart serisi elde edilir.</w:t>
      </w:r>
    </w:p>
    <w:p w14:paraId="2E55234E" w14:textId="77777777" w:rsidR="004771C2" w:rsidRDefault="004771C2" w:rsidP="004771C2">
      <w:pPr>
        <w:pStyle w:val="GvdeMetni"/>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1018"/>
        <w:gridCol w:w="1107"/>
        <w:gridCol w:w="922"/>
      </w:tblGrid>
      <w:tr w:rsidR="004771C2" w:rsidRPr="004771C2" w14:paraId="19B5A5C5" w14:textId="77777777">
        <w:trPr>
          <w:tblHeader/>
          <w:tblCellSpacing w:w="15" w:type="dxa"/>
        </w:trPr>
        <w:tc>
          <w:tcPr>
            <w:tcW w:w="0" w:type="auto"/>
            <w:vAlign w:val="center"/>
            <w:hideMark/>
          </w:tcPr>
          <w:p w14:paraId="11258EC9" w14:textId="77777777" w:rsidR="004771C2" w:rsidRPr="004771C2" w:rsidRDefault="004771C2" w:rsidP="004771C2">
            <w:pPr>
              <w:pStyle w:val="GvdeMetni"/>
              <w:jc w:val="both"/>
              <w:rPr>
                <w:b/>
                <w:bCs/>
              </w:rPr>
            </w:pPr>
            <w:r w:rsidRPr="004771C2">
              <w:rPr>
                <w:b/>
                <w:bCs/>
              </w:rPr>
              <w:t>Çözelti</w:t>
            </w:r>
          </w:p>
        </w:tc>
        <w:tc>
          <w:tcPr>
            <w:tcW w:w="0" w:type="auto"/>
            <w:vAlign w:val="center"/>
            <w:hideMark/>
          </w:tcPr>
          <w:p w14:paraId="68E3656C" w14:textId="77777777" w:rsidR="004771C2" w:rsidRPr="004771C2" w:rsidRDefault="004771C2" w:rsidP="004771C2">
            <w:pPr>
              <w:pStyle w:val="GvdeMetni"/>
              <w:jc w:val="both"/>
              <w:rPr>
                <w:b/>
                <w:bCs/>
              </w:rPr>
            </w:pPr>
            <w:r w:rsidRPr="004771C2">
              <w:rPr>
                <w:b/>
                <w:bCs/>
              </w:rPr>
              <w:t>Azot (µg)</w:t>
            </w:r>
          </w:p>
        </w:tc>
        <w:tc>
          <w:tcPr>
            <w:tcW w:w="0" w:type="auto"/>
            <w:vAlign w:val="center"/>
            <w:hideMark/>
          </w:tcPr>
          <w:p w14:paraId="76B6C71C" w14:textId="77777777" w:rsidR="004771C2" w:rsidRPr="004771C2" w:rsidRDefault="004771C2" w:rsidP="004771C2">
            <w:pPr>
              <w:pStyle w:val="GvdeMetni"/>
              <w:jc w:val="both"/>
              <w:rPr>
                <w:b/>
                <w:bCs/>
              </w:rPr>
            </w:pPr>
            <w:r w:rsidRPr="004771C2">
              <w:rPr>
                <w:b/>
                <w:bCs/>
              </w:rPr>
              <w:t>Stok (mL)</w:t>
            </w:r>
          </w:p>
        </w:tc>
        <w:tc>
          <w:tcPr>
            <w:tcW w:w="0" w:type="auto"/>
            <w:vAlign w:val="center"/>
            <w:hideMark/>
          </w:tcPr>
          <w:p w14:paraId="5D016612" w14:textId="77777777" w:rsidR="004771C2" w:rsidRPr="004771C2" w:rsidRDefault="004771C2" w:rsidP="004771C2">
            <w:pPr>
              <w:pStyle w:val="GvdeMetni"/>
              <w:jc w:val="both"/>
              <w:rPr>
                <w:b/>
                <w:bCs/>
              </w:rPr>
            </w:pPr>
            <w:r w:rsidRPr="004771C2">
              <w:rPr>
                <w:b/>
                <w:bCs/>
              </w:rPr>
              <w:t>Su (mL)</w:t>
            </w:r>
          </w:p>
        </w:tc>
      </w:tr>
      <w:tr w:rsidR="004771C2" w:rsidRPr="004771C2" w14:paraId="1380D6AA" w14:textId="77777777">
        <w:trPr>
          <w:tblCellSpacing w:w="15" w:type="dxa"/>
        </w:trPr>
        <w:tc>
          <w:tcPr>
            <w:tcW w:w="0" w:type="auto"/>
            <w:vAlign w:val="center"/>
            <w:hideMark/>
          </w:tcPr>
          <w:p w14:paraId="68A53940" w14:textId="77777777" w:rsidR="004771C2" w:rsidRPr="004771C2" w:rsidRDefault="004771C2" w:rsidP="004771C2">
            <w:pPr>
              <w:pStyle w:val="GvdeMetni"/>
              <w:jc w:val="both"/>
            </w:pPr>
            <w:r w:rsidRPr="004771C2">
              <w:t>Kör</w:t>
            </w:r>
          </w:p>
        </w:tc>
        <w:tc>
          <w:tcPr>
            <w:tcW w:w="0" w:type="auto"/>
            <w:vAlign w:val="center"/>
            <w:hideMark/>
          </w:tcPr>
          <w:p w14:paraId="25923F6B" w14:textId="77777777" w:rsidR="004771C2" w:rsidRPr="004771C2" w:rsidRDefault="004771C2" w:rsidP="004771C2">
            <w:pPr>
              <w:pStyle w:val="GvdeMetni"/>
              <w:jc w:val="both"/>
            </w:pPr>
            <w:r w:rsidRPr="004771C2">
              <w:t>0</w:t>
            </w:r>
          </w:p>
        </w:tc>
        <w:tc>
          <w:tcPr>
            <w:tcW w:w="0" w:type="auto"/>
            <w:vAlign w:val="center"/>
            <w:hideMark/>
          </w:tcPr>
          <w:p w14:paraId="7697A650" w14:textId="77777777" w:rsidR="004771C2" w:rsidRPr="004771C2" w:rsidRDefault="004771C2" w:rsidP="004771C2">
            <w:pPr>
              <w:pStyle w:val="GvdeMetni"/>
              <w:jc w:val="both"/>
            </w:pPr>
            <w:r w:rsidRPr="004771C2">
              <w:t>0</w:t>
            </w:r>
          </w:p>
        </w:tc>
        <w:tc>
          <w:tcPr>
            <w:tcW w:w="0" w:type="auto"/>
            <w:vAlign w:val="center"/>
            <w:hideMark/>
          </w:tcPr>
          <w:p w14:paraId="32D43EFA" w14:textId="77777777" w:rsidR="004771C2" w:rsidRPr="004771C2" w:rsidRDefault="004771C2" w:rsidP="004771C2">
            <w:pPr>
              <w:pStyle w:val="GvdeMetni"/>
              <w:jc w:val="both"/>
            </w:pPr>
            <w:r w:rsidRPr="004771C2">
              <w:t>10</w:t>
            </w:r>
          </w:p>
        </w:tc>
      </w:tr>
      <w:tr w:rsidR="004771C2" w:rsidRPr="004771C2" w14:paraId="5924CB76" w14:textId="77777777">
        <w:trPr>
          <w:tblCellSpacing w:w="15" w:type="dxa"/>
        </w:trPr>
        <w:tc>
          <w:tcPr>
            <w:tcW w:w="0" w:type="auto"/>
            <w:vAlign w:val="center"/>
            <w:hideMark/>
          </w:tcPr>
          <w:p w14:paraId="50B7E311" w14:textId="77777777" w:rsidR="004771C2" w:rsidRPr="004771C2" w:rsidRDefault="004771C2" w:rsidP="004771C2">
            <w:pPr>
              <w:pStyle w:val="GvdeMetni"/>
              <w:jc w:val="both"/>
            </w:pPr>
            <w:r w:rsidRPr="004771C2">
              <w:t>Std_1</w:t>
            </w:r>
          </w:p>
        </w:tc>
        <w:tc>
          <w:tcPr>
            <w:tcW w:w="0" w:type="auto"/>
            <w:vAlign w:val="center"/>
            <w:hideMark/>
          </w:tcPr>
          <w:p w14:paraId="398EDC91" w14:textId="77777777" w:rsidR="004771C2" w:rsidRPr="004771C2" w:rsidRDefault="004771C2" w:rsidP="004771C2">
            <w:pPr>
              <w:pStyle w:val="GvdeMetni"/>
              <w:jc w:val="both"/>
            </w:pPr>
            <w:r w:rsidRPr="004771C2">
              <w:t>2</w:t>
            </w:r>
          </w:p>
        </w:tc>
        <w:tc>
          <w:tcPr>
            <w:tcW w:w="0" w:type="auto"/>
            <w:vAlign w:val="center"/>
            <w:hideMark/>
          </w:tcPr>
          <w:p w14:paraId="38B074E7" w14:textId="77777777" w:rsidR="004771C2" w:rsidRPr="004771C2" w:rsidRDefault="004771C2" w:rsidP="004771C2">
            <w:pPr>
              <w:pStyle w:val="GvdeMetni"/>
              <w:jc w:val="both"/>
            </w:pPr>
            <w:r w:rsidRPr="004771C2">
              <w:t>0.4</w:t>
            </w:r>
          </w:p>
        </w:tc>
        <w:tc>
          <w:tcPr>
            <w:tcW w:w="0" w:type="auto"/>
            <w:vAlign w:val="center"/>
            <w:hideMark/>
          </w:tcPr>
          <w:p w14:paraId="64818DAB" w14:textId="77777777" w:rsidR="004771C2" w:rsidRPr="004771C2" w:rsidRDefault="004771C2" w:rsidP="004771C2">
            <w:pPr>
              <w:pStyle w:val="GvdeMetni"/>
              <w:jc w:val="both"/>
            </w:pPr>
            <w:r w:rsidRPr="004771C2">
              <w:t>9.6</w:t>
            </w:r>
          </w:p>
        </w:tc>
      </w:tr>
      <w:tr w:rsidR="004771C2" w:rsidRPr="004771C2" w14:paraId="6B95C14D" w14:textId="77777777">
        <w:trPr>
          <w:tblCellSpacing w:w="15" w:type="dxa"/>
        </w:trPr>
        <w:tc>
          <w:tcPr>
            <w:tcW w:w="0" w:type="auto"/>
            <w:vAlign w:val="center"/>
            <w:hideMark/>
          </w:tcPr>
          <w:p w14:paraId="739E4EBF" w14:textId="77777777" w:rsidR="004771C2" w:rsidRPr="004771C2" w:rsidRDefault="004771C2" w:rsidP="004771C2">
            <w:pPr>
              <w:pStyle w:val="GvdeMetni"/>
              <w:jc w:val="both"/>
            </w:pPr>
            <w:r w:rsidRPr="004771C2">
              <w:t>Std_2</w:t>
            </w:r>
          </w:p>
        </w:tc>
        <w:tc>
          <w:tcPr>
            <w:tcW w:w="0" w:type="auto"/>
            <w:vAlign w:val="center"/>
            <w:hideMark/>
          </w:tcPr>
          <w:p w14:paraId="1B3FF046" w14:textId="77777777" w:rsidR="004771C2" w:rsidRPr="004771C2" w:rsidRDefault="004771C2" w:rsidP="004771C2">
            <w:pPr>
              <w:pStyle w:val="GvdeMetni"/>
              <w:jc w:val="both"/>
            </w:pPr>
            <w:r w:rsidRPr="004771C2">
              <w:t>4</w:t>
            </w:r>
          </w:p>
        </w:tc>
        <w:tc>
          <w:tcPr>
            <w:tcW w:w="0" w:type="auto"/>
            <w:vAlign w:val="center"/>
            <w:hideMark/>
          </w:tcPr>
          <w:p w14:paraId="7EF15CB5" w14:textId="77777777" w:rsidR="004771C2" w:rsidRPr="004771C2" w:rsidRDefault="004771C2" w:rsidP="004771C2">
            <w:pPr>
              <w:pStyle w:val="GvdeMetni"/>
              <w:jc w:val="both"/>
            </w:pPr>
            <w:r w:rsidRPr="004771C2">
              <w:t>0.8</w:t>
            </w:r>
          </w:p>
        </w:tc>
        <w:tc>
          <w:tcPr>
            <w:tcW w:w="0" w:type="auto"/>
            <w:vAlign w:val="center"/>
            <w:hideMark/>
          </w:tcPr>
          <w:p w14:paraId="0C7E7D33" w14:textId="77777777" w:rsidR="004771C2" w:rsidRPr="004771C2" w:rsidRDefault="004771C2" w:rsidP="004771C2">
            <w:pPr>
              <w:pStyle w:val="GvdeMetni"/>
              <w:jc w:val="both"/>
            </w:pPr>
            <w:r w:rsidRPr="004771C2">
              <w:t>9.2</w:t>
            </w:r>
          </w:p>
        </w:tc>
      </w:tr>
      <w:tr w:rsidR="004771C2" w:rsidRPr="004771C2" w14:paraId="76E274D9" w14:textId="77777777">
        <w:trPr>
          <w:tblCellSpacing w:w="15" w:type="dxa"/>
        </w:trPr>
        <w:tc>
          <w:tcPr>
            <w:tcW w:w="0" w:type="auto"/>
            <w:vAlign w:val="center"/>
            <w:hideMark/>
          </w:tcPr>
          <w:p w14:paraId="6B259484" w14:textId="77777777" w:rsidR="004771C2" w:rsidRPr="004771C2" w:rsidRDefault="004771C2" w:rsidP="004771C2">
            <w:pPr>
              <w:pStyle w:val="GvdeMetni"/>
              <w:jc w:val="both"/>
            </w:pPr>
            <w:r w:rsidRPr="004771C2">
              <w:t>Std_3</w:t>
            </w:r>
          </w:p>
        </w:tc>
        <w:tc>
          <w:tcPr>
            <w:tcW w:w="0" w:type="auto"/>
            <w:vAlign w:val="center"/>
            <w:hideMark/>
          </w:tcPr>
          <w:p w14:paraId="1BBF7B60" w14:textId="77777777" w:rsidR="004771C2" w:rsidRPr="004771C2" w:rsidRDefault="004771C2" w:rsidP="004771C2">
            <w:pPr>
              <w:pStyle w:val="GvdeMetni"/>
              <w:jc w:val="both"/>
            </w:pPr>
            <w:r w:rsidRPr="004771C2">
              <w:t>5</w:t>
            </w:r>
          </w:p>
        </w:tc>
        <w:tc>
          <w:tcPr>
            <w:tcW w:w="0" w:type="auto"/>
            <w:vAlign w:val="center"/>
            <w:hideMark/>
          </w:tcPr>
          <w:p w14:paraId="1BECC940" w14:textId="77777777" w:rsidR="004771C2" w:rsidRPr="004771C2" w:rsidRDefault="004771C2" w:rsidP="004771C2">
            <w:pPr>
              <w:pStyle w:val="GvdeMetni"/>
              <w:jc w:val="both"/>
            </w:pPr>
            <w:r w:rsidRPr="004771C2">
              <w:t>1.0</w:t>
            </w:r>
          </w:p>
        </w:tc>
        <w:tc>
          <w:tcPr>
            <w:tcW w:w="0" w:type="auto"/>
            <w:vAlign w:val="center"/>
            <w:hideMark/>
          </w:tcPr>
          <w:p w14:paraId="65F158A4" w14:textId="77777777" w:rsidR="004771C2" w:rsidRPr="004771C2" w:rsidRDefault="004771C2" w:rsidP="004771C2">
            <w:pPr>
              <w:pStyle w:val="GvdeMetni"/>
              <w:jc w:val="both"/>
            </w:pPr>
            <w:r w:rsidRPr="004771C2">
              <w:t>9.0</w:t>
            </w:r>
          </w:p>
        </w:tc>
      </w:tr>
    </w:tbl>
    <w:p w14:paraId="6C88B6CA" w14:textId="77777777" w:rsidR="004771C2" w:rsidRDefault="004771C2" w:rsidP="004771C2">
      <w:pPr>
        <w:pStyle w:val="GvdeMetni"/>
        <w:jc w:val="both"/>
      </w:pPr>
    </w:p>
    <w:p w14:paraId="0E8AB525" w14:textId="363D1619" w:rsidR="00F72862" w:rsidRPr="00F72862" w:rsidRDefault="00F72862" w:rsidP="004771C2">
      <w:pPr>
        <w:pStyle w:val="GvdeMetni"/>
        <w:jc w:val="both"/>
        <w:rPr>
          <w:b/>
          <w:bCs/>
        </w:rPr>
      </w:pPr>
      <w:r w:rsidRPr="00F72862">
        <w:rPr>
          <w:b/>
          <w:bCs/>
        </w:rPr>
        <w:t>Hesaplama:</w:t>
      </w:r>
    </w:p>
    <w:p w14:paraId="5267488F" w14:textId="77777777" w:rsidR="00F72862" w:rsidRDefault="00F72862" w:rsidP="00F72862">
      <w:pPr>
        <w:pStyle w:val="GvdeMetni"/>
        <w:numPr>
          <w:ilvl w:val="0"/>
          <w:numId w:val="21"/>
        </w:numPr>
        <w:jc w:val="both"/>
      </w:pPr>
      <w:r>
        <w:t>Standart tüplerin her birine ait absorbans değerleri kaydedilir. Örnekteki nitriti nicel olarak belirlemek için Excel’de kalibrasyon grafiği hazırlanır: grafikte x eksenine standart çözeltilerdeki NO₂–N (nitrit azotu) miktarı, y eksenine ise ölçülen absorbans değerleri yerleştirilir. Bu grafikten doğru denklemi (y = ax + b) elde edilir. Ardından örnek absorbansı bu denkleme konularak örnekteki NO₂–N miktarı hesaplanır.</w:t>
      </w:r>
    </w:p>
    <w:p w14:paraId="3BAA048D" w14:textId="77777777" w:rsidR="00F72862" w:rsidRDefault="00F72862" w:rsidP="00F72862">
      <w:pPr>
        <w:pStyle w:val="GvdeMetni"/>
        <w:numPr>
          <w:ilvl w:val="0"/>
          <w:numId w:val="21"/>
        </w:numPr>
        <w:jc w:val="both"/>
      </w:pPr>
      <w:r>
        <w:t>Hesaplanan NO₂–N değerinden NO₂ (nitrit) miktarına dönüşüm yapılır. Dönüşüm oranı şu bilgiye dayanır: 46 g nitritte 14 g azot bulunur (yani NO₂–N → NO₂ dönüşümü bu stoikiyometri ile yapılır).</w:t>
      </w:r>
    </w:p>
    <w:p w14:paraId="5A291559" w14:textId="77777777" w:rsidR="00F72862" w:rsidRDefault="00F72862" w:rsidP="00F72862">
      <w:pPr>
        <w:pStyle w:val="GvdeMetni"/>
        <w:numPr>
          <w:ilvl w:val="0"/>
          <w:numId w:val="21"/>
        </w:numPr>
        <w:jc w:val="both"/>
      </w:pPr>
      <w:r>
        <w:t>Elde edilen sonuç öncelikle kullanılan 10 mL süzüntü içerisindeki nitrit miktarını verir. Buradan yola çıkarak, daha önce kaydedilen toplam süzüntü hacmi üzerinden tüm süzüntüdeki toplam NO₂ miktarı hesaplanır.</w:t>
      </w:r>
    </w:p>
    <w:p w14:paraId="7FF30DCA" w14:textId="208A95E2" w:rsidR="00F72862" w:rsidRDefault="00F72862" w:rsidP="00F72862">
      <w:pPr>
        <w:pStyle w:val="GvdeMetni"/>
        <w:numPr>
          <w:ilvl w:val="0"/>
          <w:numId w:val="21"/>
        </w:numPr>
        <w:jc w:val="both"/>
      </w:pPr>
      <w:r>
        <w:t>Bulunan toplam değer, analiz edilen et örneğindeki NO₂ miktarıdır. Son olarak sonuç kg başına (mg/kg) nitrit miktarına çevrilir ve Türk Gıda Kodeksi sınır değerleri ile karşılaştırılarak uygunluk değerlendirmesi yapılır.</w:t>
      </w:r>
    </w:p>
    <w:p w14:paraId="6262F09E" w14:textId="77777777" w:rsidR="00492BFB" w:rsidRDefault="00492BFB" w:rsidP="00492BFB">
      <w:pPr>
        <w:pStyle w:val="GvdeMetni"/>
        <w:jc w:val="both"/>
      </w:pPr>
    </w:p>
    <w:p w14:paraId="3E82ADFD" w14:textId="77777777" w:rsidR="00492BFB" w:rsidRDefault="00492BFB" w:rsidP="00492BFB">
      <w:pPr>
        <w:pStyle w:val="GvdeMetni"/>
        <w:jc w:val="both"/>
      </w:pPr>
    </w:p>
    <w:p w14:paraId="4AC9D0D5" w14:textId="2E95A89C" w:rsidR="00F72862" w:rsidRDefault="00F72862" w:rsidP="00F72862">
      <w:pPr>
        <w:pStyle w:val="GvdeMetni"/>
        <w:jc w:val="both"/>
        <w:rPr>
          <w:b/>
          <w:bCs/>
        </w:rPr>
      </w:pPr>
      <w:r w:rsidRPr="00F72862">
        <w:rPr>
          <w:b/>
          <w:bCs/>
        </w:rPr>
        <w:lastRenderedPageBreak/>
        <w:t>TOKSİKOL</w:t>
      </w:r>
      <w:r>
        <w:rPr>
          <w:b/>
          <w:bCs/>
        </w:rPr>
        <w:t>O</w:t>
      </w:r>
      <w:r w:rsidRPr="00F72862">
        <w:rPr>
          <w:b/>
          <w:bCs/>
        </w:rPr>
        <w:t>JİDE ÖZEL</w:t>
      </w:r>
      <w:r>
        <w:rPr>
          <w:b/>
          <w:bCs/>
        </w:rPr>
        <w:t xml:space="preserve"> </w:t>
      </w:r>
      <w:r w:rsidR="00002B43">
        <w:rPr>
          <w:b/>
          <w:bCs/>
        </w:rPr>
        <w:t xml:space="preserve">ALAN </w:t>
      </w:r>
      <w:r w:rsidR="00002B43" w:rsidRPr="00F72862">
        <w:rPr>
          <w:b/>
          <w:bCs/>
        </w:rPr>
        <w:t>ÇALIŞMALARI</w:t>
      </w:r>
    </w:p>
    <w:p w14:paraId="1DF86E7C" w14:textId="77777777" w:rsidR="00F72862" w:rsidRDefault="00F72862" w:rsidP="00F72862">
      <w:pPr>
        <w:pStyle w:val="GvdeMetni"/>
        <w:jc w:val="both"/>
        <w:rPr>
          <w:b/>
          <w:bCs/>
        </w:rPr>
      </w:pPr>
    </w:p>
    <w:p w14:paraId="2233BB41" w14:textId="07A3725C" w:rsidR="00F72862" w:rsidRDefault="00F72862" w:rsidP="00F72862">
      <w:pPr>
        <w:pStyle w:val="GvdeMetni"/>
        <w:jc w:val="both"/>
        <w:rPr>
          <w:b/>
          <w:bCs/>
        </w:rPr>
      </w:pPr>
      <w:r>
        <w:rPr>
          <w:b/>
          <w:bCs/>
        </w:rPr>
        <w:t>1.İn</w:t>
      </w:r>
      <w:r w:rsidR="00002B43">
        <w:rPr>
          <w:b/>
          <w:bCs/>
        </w:rPr>
        <w:t xml:space="preserve"> </w:t>
      </w:r>
      <w:r>
        <w:rPr>
          <w:b/>
          <w:bCs/>
        </w:rPr>
        <w:t>vitro Çalışmalar</w:t>
      </w:r>
    </w:p>
    <w:p w14:paraId="3BF380DD" w14:textId="20625A9A" w:rsidR="00002B43" w:rsidRDefault="00002B43" w:rsidP="00F72862">
      <w:pPr>
        <w:pStyle w:val="GvdeMetni"/>
        <w:jc w:val="both"/>
      </w:pPr>
      <w:r w:rsidRPr="00002B43">
        <w:t xml:space="preserve">İn vitro çalışma, bir </w:t>
      </w:r>
      <w:r>
        <w:t xml:space="preserve">ksednobiyotiğin </w:t>
      </w:r>
      <w:r w:rsidRPr="00002B43">
        <w:t>etkilerini izole bir biyolojik sistemde (çoğunlukla hücre kültürü, doku kesiti, 3B doku modeli, organoid, organ-on-chip vb.) inceleyen deney yaklaşımıdır. Amaç; organizmanın tamamına gitmeden önce, kontrollü koşullarda etkileri ölçmek ve mekanizmayı anlamaktır</w:t>
      </w:r>
      <w:r>
        <w:t>.</w:t>
      </w:r>
    </w:p>
    <w:p w14:paraId="4C230B1C" w14:textId="77777777" w:rsidR="00002B43" w:rsidRDefault="00002B43" w:rsidP="00002B43">
      <w:pPr>
        <w:pStyle w:val="GvdeMetni"/>
        <w:jc w:val="both"/>
      </w:pPr>
      <w:r>
        <w:t>İn vitro toksisite genellikle şu sorulara yanıt arar:</w:t>
      </w:r>
    </w:p>
    <w:p w14:paraId="53478828" w14:textId="77777777" w:rsidR="00002B43" w:rsidRDefault="00002B43" w:rsidP="00002B43">
      <w:pPr>
        <w:pStyle w:val="GvdeMetni"/>
        <w:numPr>
          <w:ilvl w:val="0"/>
          <w:numId w:val="22"/>
        </w:numPr>
        <w:jc w:val="both"/>
      </w:pPr>
      <w:r>
        <w:t>Madde hücre canlılığını azaltıyor mu? (</w:t>
      </w:r>
      <w:proofErr w:type="gramStart"/>
      <w:r>
        <w:t>sitotoksisite</w:t>
      </w:r>
      <w:proofErr w:type="gramEnd"/>
      <w:r>
        <w:t>)</w:t>
      </w:r>
    </w:p>
    <w:p w14:paraId="6B4423C3" w14:textId="77777777" w:rsidR="00002B43" w:rsidRDefault="00002B43" w:rsidP="00002B43">
      <w:pPr>
        <w:pStyle w:val="GvdeMetni"/>
        <w:numPr>
          <w:ilvl w:val="0"/>
          <w:numId w:val="22"/>
        </w:numPr>
        <w:jc w:val="both"/>
      </w:pPr>
      <w:r>
        <w:t>Etki doza ve zamana bağlı mı? (</w:t>
      </w:r>
      <w:proofErr w:type="gramStart"/>
      <w:r>
        <w:t>doz</w:t>
      </w:r>
      <w:proofErr w:type="gramEnd"/>
      <w:r>
        <w:t>–yanıt / zaman–yanıt)</w:t>
      </w:r>
    </w:p>
    <w:p w14:paraId="14A71491" w14:textId="40009B9B" w:rsidR="00002B43" w:rsidRDefault="00002B43" w:rsidP="00002B43">
      <w:pPr>
        <w:pStyle w:val="GvdeMetni"/>
        <w:numPr>
          <w:ilvl w:val="0"/>
          <w:numId w:val="22"/>
        </w:numPr>
        <w:jc w:val="both"/>
      </w:pPr>
      <w:r>
        <w:t>Etki mekanizması ne olabilir? oksidatif stres, mitokondri disfonksiyonu, membran hasarı, DNA hasarı, apoptoz/nekroz, inflamatuvar yanıt vb.</w:t>
      </w:r>
    </w:p>
    <w:p w14:paraId="1000B229" w14:textId="77777777" w:rsidR="00002B43" w:rsidRDefault="00002B43" w:rsidP="00002B43">
      <w:pPr>
        <w:pStyle w:val="GvdeMetni"/>
        <w:numPr>
          <w:ilvl w:val="0"/>
          <w:numId w:val="22"/>
        </w:numPr>
        <w:jc w:val="both"/>
      </w:pPr>
      <w:r>
        <w:t>Hangi hücre tipi/doku daha hassas? (</w:t>
      </w:r>
      <w:proofErr w:type="gramStart"/>
      <w:r>
        <w:t>hedef</w:t>
      </w:r>
      <w:proofErr w:type="gramEnd"/>
      <w:r>
        <w:t xml:space="preserve"> organ toksisitesi için ipucu)</w:t>
      </w:r>
    </w:p>
    <w:p w14:paraId="79F16C21" w14:textId="22604100" w:rsidR="00002B43" w:rsidRDefault="00002B43" w:rsidP="00002B43">
      <w:pPr>
        <w:pStyle w:val="GvdeMetni"/>
        <w:jc w:val="both"/>
      </w:pPr>
      <w:r>
        <w:t>Bu sonuçlar, daha ileri doğrulayıcı deneylerin (gerekirse in vivo/klinik) planlanmasına temel olur.</w:t>
      </w:r>
    </w:p>
    <w:p w14:paraId="2B8FC1A9" w14:textId="5276EADC" w:rsidR="00002B43" w:rsidRPr="00002B43" w:rsidRDefault="00002B43" w:rsidP="00002B43">
      <w:pPr>
        <w:pStyle w:val="GvdeMetni"/>
        <w:jc w:val="both"/>
        <w:rPr>
          <w:b/>
          <w:bCs/>
        </w:rPr>
      </w:pPr>
      <w:r w:rsidRPr="00002B43">
        <w:rPr>
          <w:b/>
          <w:bCs/>
        </w:rPr>
        <w:t xml:space="preserve">Kullanılan in vitro modeller: </w:t>
      </w:r>
    </w:p>
    <w:p w14:paraId="2901BF6D" w14:textId="16A94DAA" w:rsidR="00002B43" w:rsidRDefault="00002B43" w:rsidP="00002B43">
      <w:pPr>
        <w:pStyle w:val="GvdeMetni"/>
        <w:jc w:val="both"/>
      </w:pPr>
      <w:r>
        <w:t>2B hücre kültürü (klasik hücre hattı): Kolay, hızlı, düşük maliyetli; tarama için çok uygundur.</w:t>
      </w:r>
    </w:p>
    <w:p w14:paraId="431970B8" w14:textId="77777777" w:rsidR="00002B43" w:rsidRDefault="00002B43" w:rsidP="00002B43">
      <w:pPr>
        <w:pStyle w:val="GvdeMetni"/>
        <w:jc w:val="both"/>
      </w:pPr>
      <w:r>
        <w:t>Ancak doku mimarisi ve hücre–hücre etkileşimi sınırlıdır.</w:t>
      </w:r>
    </w:p>
    <w:p w14:paraId="1165583E" w14:textId="781537B0" w:rsidR="00002B43" w:rsidRDefault="00002B43" w:rsidP="00002B43">
      <w:pPr>
        <w:pStyle w:val="GvdeMetni"/>
        <w:jc w:val="both"/>
      </w:pPr>
      <w:r>
        <w:t>Primer hücreler: İnsan biyolojisine daha yakın olabilir; fakat temin/standardizasyon zordur, donör farkı görülebilir.</w:t>
      </w:r>
    </w:p>
    <w:p w14:paraId="6796FA72" w14:textId="61065F56" w:rsidR="00002B43" w:rsidRDefault="00002B43" w:rsidP="00002B43">
      <w:pPr>
        <w:pStyle w:val="GvdeMetni"/>
        <w:jc w:val="both"/>
      </w:pPr>
      <w:r>
        <w:t>3B kültür / sferoid / organoid: Hücrelerin dokuya benzer şekilde organize olmasını sağlar; bazı toksisite türlerinde 2B’ye göre daha gerçekçi sonuç verebilir.</w:t>
      </w:r>
    </w:p>
    <w:p w14:paraId="2EDAFACD" w14:textId="4C843E95" w:rsidR="00002B43" w:rsidRDefault="00002B43" w:rsidP="00002B43">
      <w:pPr>
        <w:pStyle w:val="GvdeMetni"/>
        <w:jc w:val="both"/>
      </w:pPr>
      <w:r>
        <w:t>Organ-on-chip: Akış, mekanik stres, çoklu doku etkileşimi gibi unsurları simüle ederek “fizyolojiye yakın” modeller sunabilir.</w:t>
      </w:r>
    </w:p>
    <w:p w14:paraId="04120E7F" w14:textId="77777777" w:rsidR="00384A9C" w:rsidRPr="00384A9C" w:rsidRDefault="00384A9C" w:rsidP="00384A9C">
      <w:pPr>
        <w:pStyle w:val="GvdeMetni"/>
        <w:jc w:val="both"/>
        <w:rPr>
          <w:b/>
          <w:bCs/>
        </w:rPr>
      </w:pPr>
      <w:r w:rsidRPr="00384A9C">
        <w:rPr>
          <w:b/>
          <w:bCs/>
        </w:rPr>
        <w:t>İn vitro çalışmaların güçlü yönleri</w:t>
      </w:r>
    </w:p>
    <w:p w14:paraId="24DBFB1B" w14:textId="77777777" w:rsidR="00384A9C" w:rsidRDefault="00384A9C" w:rsidP="00384A9C">
      <w:pPr>
        <w:pStyle w:val="GvdeMetni"/>
        <w:numPr>
          <w:ilvl w:val="0"/>
          <w:numId w:val="23"/>
        </w:numPr>
        <w:jc w:val="both"/>
      </w:pPr>
      <w:r>
        <w:t>Kontrol edilebilirlik: Doz, süre, ortam koşulları net ayarlanır.</w:t>
      </w:r>
    </w:p>
    <w:p w14:paraId="0B96AC4C" w14:textId="77777777" w:rsidR="00384A9C" w:rsidRDefault="00384A9C" w:rsidP="00384A9C">
      <w:pPr>
        <w:pStyle w:val="GvdeMetni"/>
        <w:numPr>
          <w:ilvl w:val="0"/>
          <w:numId w:val="23"/>
        </w:numPr>
        <w:jc w:val="both"/>
      </w:pPr>
      <w:r>
        <w:t>Hız ve verim: Çok sayıda bileşik hızlı taranabilir.</w:t>
      </w:r>
    </w:p>
    <w:p w14:paraId="311EBDAF" w14:textId="77777777" w:rsidR="00384A9C" w:rsidRDefault="00384A9C" w:rsidP="00384A9C">
      <w:pPr>
        <w:pStyle w:val="GvdeMetni"/>
        <w:numPr>
          <w:ilvl w:val="0"/>
          <w:numId w:val="23"/>
        </w:numPr>
        <w:jc w:val="both"/>
      </w:pPr>
      <w:r>
        <w:t>Mekanizma okuması: Hücresel düzeyde yolaklar test edilebilir.</w:t>
      </w:r>
    </w:p>
    <w:p w14:paraId="6A09C481" w14:textId="062035FC" w:rsidR="00384A9C" w:rsidRDefault="00384A9C" w:rsidP="00384A9C">
      <w:pPr>
        <w:pStyle w:val="GvdeMetni"/>
        <w:numPr>
          <w:ilvl w:val="0"/>
          <w:numId w:val="23"/>
        </w:numPr>
        <w:jc w:val="both"/>
      </w:pPr>
      <w:r>
        <w:t>3R katkısı: Hayvan kullanımını azaltma hedefiyle uyumludur.</w:t>
      </w:r>
    </w:p>
    <w:p w14:paraId="7B873FDE" w14:textId="77777777" w:rsidR="00384A9C" w:rsidRPr="00384A9C" w:rsidRDefault="00384A9C" w:rsidP="00384A9C">
      <w:pPr>
        <w:pStyle w:val="GvdeMetni"/>
        <w:jc w:val="both"/>
        <w:rPr>
          <w:b/>
          <w:bCs/>
        </w:rPr>
      </w:pPr>
      <w:r w:rsidRPr="00384A9C">
        <w:rPr>
          <w:b/>
          <w:bCs/>
        </w:rPr>
        <w:t>Sınırlılıklar (öğrenci için kritik notlar)</w:t>
      </w:r>
    </w:p>
    <w:p w14:paraId="2F0CFBDC" w14:textId="77777777" w:rsidR="00384A9C" w:rsidRDefault="00384A9C" w:rsidP="00384A9C">
      <w:pPr>
        <w:pStyle w:val="GvdeMetni"/>
        <w:numPr>
          <w:ilvl w:val="0"/>
          <w:numId w:val="24"/>
        </w:numPr>
        <w:jc w:val="both"/>
      </w:pPr>
      <w:r>
        <w:t>İn vitro sonuç tek başına “insanda kesin toksisite” demek değildir.</w:t>
      </w:r>
    </w:p>
    <w:p w14:paraId="11AE7D87" w14:textId="77777777" w:rsidR="00384A9C" w:rsidRDefault="00384A9C" w:rsidP="00384A9C">
      <w:pPr>
        <w:pStyle w:val="GvdeMetni"/>
        <w:numPr>
          <w:ilvl w:val="0"/>
          <w:numId w:val="24"/>
        </w:numPr>
        <w:jc w:val="both"/>
      </w:pPr>
      <w:r>
        <w:t>Emilim–dağılım–metabolizma–atılım (ADME) ve bağışıklık/çoklu organ etkileşimleri sınırlı temsil edilir.</w:t>
      </w:r>
    </w:p>
    <w:p w14:paraId="69E101EC" w14:textId="4F6F899A" w:rsidR="00384A9C" w:rsidRDefault="00384A9C" w:rsidP="00384A9C">
      <w:pPr>
        <w:pStyle w:val="GvdeMetni"/>
        <w:numPr>
          <w:ilvl w:val="0"/>
          <w:numId w:val="24"/>
        </w:numPr>
        <w:jc w:val="both"/>
      </w:pPr>
      <w:r>
        <w:t>Hücre hattı, pasaj sayısı, serum, solvent, ekim yoğunluğu gibi detaylar sonucu ciddi etkiler → bu yüzden standart çalışma pratiği ve raporlama şarttır.</w:t>
      </w:r>
    </w:p>
    <w:p w14:paraId="7B30AFB3" w14:textId="77777777" w:rsidR="00384A9C" w:rsidRDefault="00384A9C" w:rsidP="00384A9C">
      <w:pPr>
        <w:pStyle w:val="GvdeMetni"/>
        <w:jc w:val="both"/>
      </w:pPr>
    </w:p>
    <w:p w14:paraId="1CCC1171" w14:textId="77777777" w:rsidR="00384A9C" w:rsidRPr="00384A9C" w:rsidRDefault="00384A9C" w:rsidP="00384A9C">
      <w:pPr>
        <w:pStyle w:val="GvdeMetni"/>
        <w:jc w:val="both"/>
        <w:rPr>
          <w:b/>
          <w:bCs/>
        </w:rPr>
      </w:pPr>
      <w:r w:rsidRPr="00384A9C">
        <w:rPr>
          <w:b/>
          <w:bCs/>
        </w:rPr>
        <w:t>Sitotoksisite nedir, neden ölçeriz?</w:t>
      </w:r>
    </w:p>
    <w:p w14:paraId="4EEDDD42" w14:textId="77777777" w:rsidR="00384A9C" w:rsidRDefault="00384A9C" w:rsidP="00384A9C">
      <w:pPr>
        <w:pStyle w:val="GvdeMetni"/>
        <w:jc w:val="both"/>
      </w:pPr>
      <w:r>
        <w:t>Sitotoksisite, bir kimyasalın hücrelerde canlılık azalması, metabolik aktivite düşüşü, membran hasarı, apoptoz/nekroz gibi etkiler oluşturmasıdır.</w:t>
      </w:r>
    </w:p>
    <w:p w14:paraId="4A1AB517" w14:textId="77777777" w:rsidR="00384A9C" w:rsidRDefault="00384A9C" w:rsidP="00384A9C">
      <w:pPr>
        <w:pStyle w:val="GvdeMetni"/>
        <w:jc w:val="both"/>
      </w:pPr>
      <w:r>
        <w:t>Toksikolojide in vitro sitotoksisite;</w:t>
      </w:r>
    </w:p>
    <w:p w14:paraId="4C3D3035" w14:textId="283F3ECB" w:rsidR="00384A9C" w:rsidRDefault="00384A9C" w:rsidP="00384A9C">
      <w:pPr>
        <w:pStyle w:val="GvdeMetni"/>
        <w:numPr>
          <w:ilvl w:val="0"/>
          <w:numId w:val="25"/>
        </w:numPr>
        <w:jc w:val="both"/>
      </w:pPr>
      <w:r>
        <w:t>Madde taraması</w:t>
      </w:r>
    </w:p>
    <w:p w14:paraId="60E191E3" w14:textId="713C7A09" w:rsidR="00384A9C" w:rsidRDefault="00384A9C" w:rsidP="00384A9C">
      <w:pPr>
        <w:pStyle w:val="GvdeMetni"/>
        <w:numPr>
          <w:ilvl w:val="0"/>
          <w:numId w:val="25"/>
        </w:numPr>
        <w:jc w:val="both"/>
      </w:pPr>
      <w:r>
        <w:t>Doz–yanıt ilişkisi,</w:t>
      </w:r>
    </w:p>
    <w:p w14:paraId="3C964ED4" w14:textId="77777777" w:rsidR="00384A9C" w:rsidRDefault="00384A9C" w:rsidP="00384A9C">
      <w:pPr>
        <w:pStyle w:val="GvdeMetni"/>
        <w:numPr>
          <w:ilvl w:val="0"/>
          <w:numId w:val="25"/>
        </w:numPr>
        <w:jc w:val="both"/>
      </w:pPr>
      <w:r>
        <w:t>IC₅₀ gibi parametrelerin belirlenmesi,</w:t>
      </w:r>
    </w:p>
    <w:p w14:paraId="1A381A9E" w14:textId="21505E5D" w:rsidR="00384A9C" w:rsidRDefault="00384A9C" w:rsidP="00384A9C">
      <w:pPr>
        <w:pStyle w:val="GvdeMetni"/>
        <w:numPr>
          <w:ilvl w:val="0"/>
          <w:numId w:val="25"/>
        </w:numPr>
        <w:jc w:val="both"/>
      </w:pPr>
      <w:r>
        <w:t>Mekanizma çalışmalarına (oksidatif stres, mitokondri, apoptoz vb.) ön bilgi sağlamak için kullanılır.</w:t>
      </w:r>
    </w:p>
    <w:p w14:paraId="3E687983" w14:textId="40A104CF" w:rsidR="00384A9C" w:rsidRPr="00384A9C" w:rsidRDefault="00384A9C" w:rsidP="00384A9C">
      <w:pPr>
        <w:pStyle w:val="GvdeMetni"/>
        <w:jc w:val="both"/>
        <w:rPr>
          <w:b/>
          <w:bCs/>
        </w:rPr>
      </w:pPr>
      <w:r w:rsidRPr="00384A9C">
        <w:rPr>
          <w:b/>
          <w:bCs/>
        </w:rPr>
        <w:t>Hücre kültürü temelleri (sitotoksisite deneyleri için)</w:t>
      </w:r>
    </w:p>
    <w:p w14:paraId="490A662A" w14:textId="77777777" w:rsidR="00384A9C" w:rsidRPr="00384A9C" w:rsidRDefault="00384A9C" w:rsidP="00384A9C">
      <w:pPr>
        <w:pStyle w:val="GvdeMetni"/>
        <w:jc w:val="both"/>
        <w:rPr>
          <w:b/>
          <w:bCs/>
        </w:rPr>
      </w:pPr>
      <w:r w:rsidRPr="00384A9C">
        <w:rPr>
          <w:b/>
          <w:bCs/>
        </w:rPr>
        <w:t>Hücre hattı seçimi</w:t>
      </w:r>
    </w:p>
    <w:p w14:paraId="686B5E38" w14:textId="77777777" w:rsidR="00384A9C" w:rsidRDefault="00384A9C" w:rsidP="00384A9C">
      <w:pPr>
        <w:pStyle w:val="GvdeMetni"/>
        <w:jc w:val="both"/>
      </w:pPr>
      <w:r>
        <w:t>Organ/ hedef dokuya uygun hat seçilir (örn. karaciğer, böbrek, nöronal).</w:t>
      </w:r>
    </w:p>
    <w:p w14:paraId="4F88E317" w14:textId="7DC318F2" w:rsidR="00384A9C" w:rsidRDefault="00384A9C" w:rsidP="00384A9C">
      <w:pPr>
        <w:pStyle w:val="GvdeMetni"/>
        <w:jc w:val="both"/>
      </w:pPr>
      <w:r>
        <w:t>Hücre hattının büyüme hızı, metabolik kapasitesi, ilaç taşıyıcıları ve pH/serum gereksinimleri sonuçları etkileyebilir.</w:t>
      </w:r>
    </w:p>
    <w:p w14:paraId="60952450" w14:textId="17E0B7F2" w:rsidR="00384A9C" w:rsidRPr="00384A9C" w:rsidRDefault="00384A9C" w:rsidP="00384A9C">
      <w:pPr>
        <w:pStyle w:val="GvdeMetni"/>
        <w:jc w:val="both"/>
        <w:rPr>
          <w:b/>
          <w:bCs/>
        </w:rPr>
      </w:pPr>
      <w:r w:rsidRPr="00384A9C">
        <w:rPr>
          <w:b/>
          <w:bCs/>
        </w:rPr>
        <w:lastRenderedPageBreak/>
        <w:t xml:space="preserve">Sitotoksisite/Canlılık testleri: </w:t>
      </w:r>
    </w:p>
    <w:p w14:paraId="749458D0" w14:textId="743C0868" w:rsidR="00384A9C" w:rsidRPr="00384A9C" w:rsidRDefault="00384A9C" w:rsidP="00384A9C">
      <w:pPr>
        <w:pStyle w:val="GvdeMetni"/>
        <w:jc w:val="both"/>
      </w:pPr>
      <w:r w:rsidRPr="00384A9C">
        <w:t>1.Metabolik aktiviteye dayalı testler</w:t>
      </w:r>
    </w:p>
    <w:p w14:paraId="3D0ED320" w14:textId="77777777" w:rsidR="00384A9C" w:rsidRDefault="00384A9C" w:rsidP="00384A9C">
      <w:pPr>
        <w:pStyle w:val="GvdeMetni"/>
        <w:jc w:val="both"/>
      </w:pPr>
      <w:r>
        <w:t>MTT/MTS/XTT/WST-1 (tetrazolyum tuzları)</w:t>
      </w:r>
    </w:p>
    <w:p w14:paraId="605EACA8" w14:textId="77777777" w:rsidR="00384A9C" w:rsidRDefault="00384A9C" w:rsidP="00384A9C">
      <w:pPr>
        <w:pStyle w:val="GvdeMetni"/>
        <w:jc w:val="both"/>
      </w:pPr>
      <w:r>
        <w:t>Resazurin (Alamar Blue)</w:t>
      </w:r>
    </w:p>
    <w:p w14:paraId="032A548C" w14:textId="76A8ADD2" w:rsidR="00384A9C" w:rsidRDefault="00384A9C" w:rsidP="00384A9C">
      <w:pPr>
        <w:pStyle w:val="GvdeMetni"/>
        <w:jc w:val="both"/>
      </w:pPr>
      <w:r>
        <w:t>2.ATP miktarı (luminesans)</w:t>
      </w:r>
    </w:p>
    <w:p w14:paraId="5C47B77D" w14:textId="566BC11C" w:rsidR="00384A9C" w:rsidRDefault="00384A9C" w:rsidP="00384A9C">
      <w:pPr>
        <w:pStyle w:val="GvdeMetni"/>
        <w:jc w:val="both"/>
      </w:pPr>
      <w:r>
        <w:t>3.Membran bütünlüğü</w:t>
      </w:r>
    </w:p>
    <w:p w14:paraId="1513FD0B" w14:textId="77777777" w:rsidR="00384A9C" w:rsidRDefault="00384A9C" w:rsidP="00384A9C">
      <w:pPr>
        <w:pStyle w:val="GvdeMetni"/>
        <w:jc w:val="both"/>
      </w:pPr>
      <w:r>
        <w:t>LDH salınımı gibi</w:t>
      </w:r>
    </w:p>
    <w:p w14:paraId="22424AEA" w14:textId="607FB9DA" w:rsidR="00384A9C" w:rsidRDefault="00384A9C" w:rsidP="00384A9C">
      <w:pPr>
        <w:pStyle w:val="GvdeMetni"/>
        <w:jc w:val="both"/>
      </w:pPr>
      <w:r>
        <w:t>4.Hücre ölümü türü (mekanizma)</w:t>
      </w:r>
    </w:p>
    <w:p w14:paraId="2375A439" w14:textId="77777777" w:rsidR="00384A9C" w:rsidRDefault="00384A9C" w:rsidP="00384A9C">
      <w:pPr>
        <w:pStyle w:val="GvdeMetni"/>
        <w:jc w:val="both"/>
      </w:pPr>
      <w:r>
        <w:t>Apoptoz/nekroz ayrımı (örn. Annexin V/PI, kaspaz aktivitesi)</w:t>
      </w:r>
    </w:p>
    <w:p w14:paraId="16A9819E" w14:textId="57AAC978" w:rsidR="00384A9C" w:rsidRDefault="00384A9C" w:rsidP="00384A9C">
      <w:pPr>
        <w:pStyle w:val="GvdeMetni"/>
        <w:jc w:val="both"/>
      </w:pPr>
      <w:r>
        <w:t>5.Klonojenik test “Uzun dönem üreme kapasitesi”ni gösterir</w:t>
      </w:r>
    </w:p>
    <w:p w14:paraId="6CC49679" w14:textId="77777777" w:rsidR="00384A9C" w:rsidRDefault="00384A9C" w:rsidP="00384A9C">
      <w:pPr>
        <w:pStyle w:val="GvdeMetni"/>
        <w:jc w:val="both"/>
      </w:pPr>
    </w:p>
    <w:p w14:paraId="146C401A" w14:textId="77777777" w:rsidR="00384A9C" w:rsidRPr="00384A9C" w:rsidRDefault="00384A9C" w:rsidP="00384A9C">
      <w:pPr>
        <w:pStyle w:val="GvdeMetni"/>
        <w:jc w:val="both"/>
        <w:rPr>
          <w:b/>
          <w:bCs/>
        </w:rPr>
      </w:pPr>
      <w:r w:rsidRPr="00384A9C">
        <w:rPr>
          <w:b/>
          <w:bCs/>
        </w:rPr>
        <w:t>MTT testi (en klasik sitotoksisite testi)</w:t>
      </w:r>
    </w:p>
    <w:p w14:paraId="42D4FD10" w14:textId="60FFA9B4" w:rsidR="00384A9C" w:rsidRDefault="00384A9C" w:rsidP="00384A9C">
      <w:pPr>
        <w:pStyle w:val="GvdeMetni"/>
        <w:jc w:val="both"/>
      </w:pPr>
      <w:proofErr w:type="gramStart"/>
      <w:r>
        <w:t>Prensip :MTT</w:t>
      </w:r>
      <w:proofErr w:type="gramEnd"/>
      <w:r>
        <w:t>, canlı hücrelerde enzimatik indirgenme ile mor renkli formazana dönüşür.</w:t>
      </w:r>
    </w:p>
    <w:p w14:paraId="0815D02E" w14:textId="4B1E4AD0" w:rsidR="00384A9C" w:rsidRDefault="00384A9C" w:rsidP="00384A9C">
      <w:pPr>
        <w:pStyle w:val="GvdeMetni"/>
        <w:jc w:val="both"/>
      </w:pPr>
      <w:r>
        <w:t>Okunan absorbans sinyali çoğunlukla “canlı/metabolik aktif hücre” miktarıyla ilişkilidir. MTT indirgenmesi yalnız mitokondriyle sınırlı değildir; hücre içi farklı redoks sistemleri de katkı verir.</w:t>
      </w:r>
    </w:p>
    <w:p w14:paraId="07040F3D" w14:textId="77777777" w:rsidR="00384A9C" w:rsidRDefault="00384A9C" w:rsidP="00384A9C">
      <w:pPr>
        <w:pStyle w:val="GvdeMetni"/>
        <w:numPr>
          <w:ilvl w:val="0"/>
          <w:numId w:val="26"/>
        </w:numPr>
        <w:jc w:val="both"/>
      </w:pPr>
      <w:r>
        <w:t>Plaka hazırlığı: Hücreler 96 kuyucuklu plakaya uygun yoğunlukta ekilir ve tutunması için inkübe edilir.</w:t>
      </w:r>
    </w:p>
    <w:p w14:paraId="635AD436" w14:textId="77777777" w:rsidR="00384A9C" w:rsidRDefault="00384A9C" w:rsidP="00384A9C">
      <w:pPr>
        <w:pStyle w:val="GvdeMetni"/>
        <w:numPr>
          <w:ilvl w:val="0"/>
          <w:numId w:val="26"/>
        </w:numPr>
        <w:jc w:val="both"/>
      </w:pPr>
      <w:r>
        <w:t>Maruziyet: Test bileşiği farklı dozlarda uygulanır (genelde birkaç konsantrasyon + kontrol).</w:t>
      </w:r>
    </w:p>
    <w:p w14:paraId="4CFABCA8" w14:textId="77777777" w:rsidR="00384A9C" w:rsidRDefault="00384A9C" w:rsidP="00384A9C">
      <w:pPr>
        <w:pStyle w:val="GvdeMetni"/>
        <w:numPr>
          <w:ilvl w:val="0"/>
          <w:numId w:val="26"/>
        </w:numPr>
        <w:jc w:val="both"/>
      </w:pPr>
      <w:r>
        <w:t>MTT ekleme: Deney sonunda kuyucuklara MTT çözeltisi eklenir, belirli süre inkübe edilir.</w:t>
      </w:r>
    </w:p>
    <w:p w14:paraId="6C755EBC" w14:textId="77777777" w:rsidR="00384A9C" w:rsidRDefault="00384A9C" w:rsidP="00384A9C">
      <w:pPr>
        <w:pStyle w:val="GvdeMetni"/>
        <w:numPr>
          <w:ilvl w:val="0"/>
          <w:numId w:val="26"/>
        </w:numPr>
        <w:jc w:val="both"/>
      </w:pPr>
      <w:r>
        <w:t>Formazan çözündürme: Oluşan kristaller uygun çözücü ile çözündürülür.</w:t>
      </w:r>
    </w:p>
    <w:p w14:paraId="35509761" w14:textId="05FBCC52" w:rsidR="00384A9C" w:rsidRDefault="00384A9C" w:rsidP="00384A9C">
      <w:pPr>
        <w:pStyle w:val="GvdeMetni"/>
        <w:numPr>
          <w:ilvl w:val="0"/>
          <w:numId w:val="26"/>
        </w:numPr>
        <w:jc w:val="both"/>
      </w:pPr>
      <w:r>
        <w:t>Okuma</w:t>
      </w:r>
    </w:p>
    <w:p w14:paraId="6266E526" w14:textId="0F849FFC" w:rsidR="00384A9C" w:rsidRDefault="00384A9C" w:rsidP="00384A9C">
      <w:pPr>
        <w:pStyle w:val="GvdeMetni"/>
        <w:numPr>
          <w:ilvl w:val="0"/>
          <w:numId w:val="26"/>
        </w:numPr>
        <w:jc w:val="both"/>
      </w:pPr>
      <w:r>
        <w:t>Hesaplama</w:t>
      </w:r>
    </w:p>
    <w:p w14:paraId="39149404" w14:textId="426B936F" w:rsidR="00384A9C" w:rsidRDefault="00384A9C" w:rsidP="00384A9C">
      <w:pPr>
        <w:pStyle w:val="GvdeMetni"/>
        <w:jc w:val="both"/>
      </w:pPr>
      <w:r>
        <w:rPr>
          <w:rStyle w:val="Gl"/>
          <w:rFonts w:eastAsiaTheme="majorEastAsia"/>
        </w:rPr>
        <w:t xml:space="preserve">  </w:t>
      </w:r>
      <w:r w:rsidRPr="00384A9C">
        <w:rPr>
          <w:rStyle w:val="Gl"/>
          <w:rFonts w:eastAsiaTheme="majorEastAsia"/>
          <w:b w:val="0"/>
          <w:bCs w:val="0"/>
        </w:rPr>
        <w:t xml:space="preserve">     % Canlılık</w:t>
      </w:r>
      <w:r>
        <w:rPr>
          <w:rStyle w:val="Gl"/>
          <w:rFonts w:eastAsiaTheme="majorEastAsia"/>
        </w:rPr>
        <w:t xml:space="preserve"> =</w:t>
      </w:r>
      <w:r>
        <w:t xml:space="preserve"> </w:t>
      </w:r>
      <m:oMath>
        <m:d>
          <m:dPr>
            <m:ctrlPr>
              <w:rPr>
                <w:rFonts w:ascii="Cambria Math" w:hAnsi="Cambria Math"/>
              </w:rPr>
            </m:ctrlPr>
          </m:dPr>
          <m:e>
            <m:r>
              <w:rPr>
                <w:rFonts w:ascii="Cambria Math" w:hAnsi="Cambria Math"/>
              </w:rPr>
              <m:t>A</m:t>
            </m:r>
            <m:r>
              <m:rPr>
                <m:sty m:val="p"/>
              </m:rPr>
              <w:rPr>
                <w:rFonts w:ascii="Cambria Math" w:hAnsi="Cambria Math"/>
              </w:rPr>
              <m:t>_</m:t>
            </m:r>
            <m:acc>
              <m:accPr>
                <m:chr m:val="̈"/>
                <m:ctrlPr>
                  <w:rPr>
                    <w:rFonts w:ascii="Cambria Math" w:hAnsi="Cambria Math"/>
                  </w:rPr>
                </m:ctrlPr>
              </m:accPr>
              <m:e>
                <m:r>
                  <w:rPr>
                    <w:rFonts w:ascii="Cambria Math" w:hAnsi="Cambria Math"/>
                  </w:rPr>
                  <m:t>o</m:t>
                </m:r>
              </m:e>
            </m:acc>
            <m:r>
              <w:rPr>
                <w:rFonts w:ascii="Cambria Math" w:hAnsi="Cambria Math"/>
              </w:rPr>
              <m:t>rnek-A</m:t>
            </m:r>
            <m:r>
              <m:rPr>
                <m:sty m:val="p"/>
              </m:rPr>
              <w:rPr>
                <w:rFonts w:ascii="Cambria Math" w:hAnsi="Cambria Math"/>
              </w:rPr>
              <m:t>_</m:t>
            </m:r>
            <m:r>
              <w:rPr>
                <w:rFonts w:ascii="Cambria Math" w:hAnsi="Cambria Math"/>
              </w:rPr>
              <m:t>blank)</m:t>
            </m:r>
            <m:r>
              <m:rPr>
                <m:sty m:val="p"/>
              </m:rPr>
              <w:rPr>
                <w:rFonts w:ascii="Cambria Math" w:hAnsi="Cambria Math"/>
              </w:rPr>
              <m:t>/</m:t>
            </m:r>
            <m:r>
              <w:rPr>
                <w:rFonts w:ascii="Cambria Math" w:hAnsi="Cambria Math"/>
              </w:rPr>
              <m:t>(A</m:t>
            </m:r>
            <m:r>
              <m:rPr>
                <m:sty m:val="p"/>
              </m:rPr>
              <w:rPr>
                <w:rFonts w:ascii="Cambria Math" w:hAnsi="Cambria Math"/>
              </w:rPr>
              <m:t>_</m:t>
            </m:r>
            <m:r>
              <w:rPr>
                <w:rFonts w:ascii="Cambria Math" w:hAnsi="Cambria Math"/>
              </w:rPr>
              <m:t>kontrol-A</m:t>
            </m:r>
            <m:r>
              <m:rPr>
                <m:sty m:val="p"/>
              </m:rPr>
              <w:rPr>
                <w:rFonts w:ascii="Cambria Math" w:hAnsi="Cambria Math"/>
              </w:rPr>
              <m:t>_</m:t>
            </m:r>
            <m:r>
              <w:rPr>
                <w:rFonts w:ascii="Cambria Math" w:hAnsi="Cambria Math"/>
              </w:rPr>
              <m:t>blank</m:t>
            </m:r>
          </m:e>
        </m:d>
      </m:oMath>
      <w:r>
        <w:t>× 100.</w:t>
      </w:r>
    </w:p>
    <w:p w14:paraId="6E07D5DD" w14:textId="77777777" w:rsidR="003D2971" w:rsidRDefault="00384A9C" w:rsidP="00384A9C">
      <w:pPr>
        <w:pStyle w:val="GvdeMetni"/>
        <w:jc w:val="both"/>
      </w:pPr>
      <w:r>
        <w:t xml:space="preserve">       </w:t>
      </w:r>
      <w:r w:rsidRPr="00384A9C">
        <w:t>Buradan doz–yanıt eğrisi ile IC₅₀ hesaplanabilir.</w:t>
      </w:r>
      <w:r w:rsidR="003D2971">
        <w:t xml:space="preserve"> </w:t>
      </w:r>
    </w:p>
    <w:p w14:paraId="6A171D9B" w14:textId="139C4B77" w:rsidR="00384A9C" w:rsidRDefault="003D2971" w:rsidP="00384A9C">
      <w:pPr>
        <w:pStyle w:val="GvdeMetni"/>
        <w:jc w:val="both"/>
      </w:pPr>
      <w:bookmarkStart w:id="2" w:name="_Hlk219081095"/>
      <w:r w:rsidRPr="003D2971">
        <w:t>X maddesi için LC50 (50% ölüm noktası) işaretli örnek doz–yanıt (sigmoidal) grafiğ</w:t>
      </w:r>
      <w:r>
        <w:t xml:space="preserve">i </w:t>
      </w:r>
      <w:bookmarkEnd w:id="2"/>
      <w:r>
        <w:t>aşağtda veilmiştir.</w:t>
      </w:r>
    </w:p>
    <w:p w14:paraId="6F32B20D" w14:textId="41132043" w:rsidR="007B1850" w:rsidRPr="007B1850" w:rsidRDefault="007B1850" w:rsidP="007B1850">
      <w:pPr>
        <w:pStyle w:val="GvdeMetni"/>
        <w:jc w:val="both"/>
      </w:pPr>
    </w:p>
    <w:p w14:paraId="33AEB06D" w14:textId="0C00BF89" w:rsidR="007B1850" w:rsidRDefault="003D2971" w:rsidP="00384A9C">
      <w:pPr>
        <w:pStyle w:val="GvdeMetni"/>
        <w:jc w:val="both"/>
      </w:pPr>
      <w:r w:rsidRPr="007B1850">
        <w:rPr>
          <w:noProof/>
        </w:rPr>
        <w:drawing>
          <wp:anchor distT="0" distB="0" distL="114300" distR="114300" simplePos="0" relativeHeight="251711488" behindDoc="0" locked="0" layoutInCell="1" allowOverlap="1" wp14:anchorId="04D4B50F" wp14:editId="5FCD8E5C">
            <wp:simplePos x="0" y="0"/>
            <wp:positionH relativeFrom="margin">
              <wp:posOffset>3128829</wp:posOffset>
            </wp:positionH>
            <wp:positionV relativeFrom="paragraph">
              <wp:posOffset>266349</wp:posOffset>
            </wp:positionV>
            <wp:extent cx="2771140" cy="2635885"/>
            <wp:effectExtent l="0" t="0" r="0" b="0"/>
            <wp:wrapTopAndBottom/>
            <wp:docPr id="678986151" name="Resim 24" descr="metin, çizgi, diyagram, öykü gelişim çizgisi; kumpas; grafiğini çıkarm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86151" name="Resim 24" descr="metin, çizgi, diyagram, öykü gelişim çizgisi; kumpas; grafiğini çıkarma içeren bir resim&#10;&#10;Yapay zeka tarafından oluşturulmuş içerik yanlış olabili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1140" cy="2635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1850">
        <w:rPr>
          <w:noProof/>
        </w:rPr>
        <w:drawing>
          <wp:anchor distT="0" distB="0" distL="114300" distR="114300" simplePos="0" relativeHeight="251710464" behindDoc="1" locked="0" layoutInCell="1" allowOverlap="1" wp14:anchorId="28063E88" wp14:editId="3949FB5A">
            <wp:simplePos x="0" y="0"/>
            <wp:positionH relativeFrom="column">
              <wp:posOffset>-524510</wp:posOffset>
            </wp:positionH>
            <wp:positionV relativeFrom="paragraph">
              <wp:posOffset>312420</wp:posOffset>
            </wp:positionV>
            <wp:extent cx="3211830" cy="2535555"/>
            <wp:effectExtent l="0" t="0" r="7620" b="0"/>
            <wp:wrapTopAndBottom/>
            <wp:docPr id="967414648" name="Resim 23" descr="Automated MTT assay for cell proliferation | INTEG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utomated MTT assay for cell proliferation | INTEGR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11830" cy="2535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DB0E1" w14:textId="17329EBF" w:rsidR="00384A9C" w:rsidRDefault="00384A9C" w:rsidP="00384A9C">
      <w:pPr>
        <w:pStyle w:val="GvdeMetni"/>
        <w:jc w:val="both"/>
      </w:pPr>
    </w:p>
    <w:p w14:paraId="13F368B9" w14:textId="6A52400E" w:rsidR="007B1850" w:rsidRPr="003D2971" w:rsidRDefault="007B1850">
      <w:pPr>
        <w:rPr>
          <w:rFonts w:ascii="Times New Roman" w:eastAsia="Times New Roman" w:hAnsi="Times New Roman" w:cs="Times New Roman"/>
          <w:i/>
          <w:iCs/>
          <w:kern w:val="0"/>
          <w:sz w:val="20"/>
          <w:szCs w:val="20"/>
          <w14:ligatures w14:val="none"/>
        </w:rPr>
      </w:pPr>
      <w:r w:rsidRPr="003D2971">
        <w:t xml:space="preserve"> </w:t>
      </w:r>
      <w:r w:rsidRPr="003D2971">
        <w:rPr>
          <w:sz w:val="22"/>
          <w:szCs w:val="22"/>
        </w:rPr>
        <w:t xml:space="preserve"> Resim1. MTT 96-well plağı</w:t>
      </w:r>
      <w:r w:rsidR="003D2971">
        <w:rPr>
          <w:i/>
          <w:iCs/>
          <w:sz w:val="22"/>
          <w:szCs w:val="22"/>
        </w:rPr>
        <w:t xml:space="preserve">                                                                 </w:t>
      </w:r>
      <w:r w:rsidRPr="003D2971">
        <w:rPr>
          <w:rFonts w:ascii="Times New Roman" w:hAnsi="Times New Roman" w:cs="Times New Roman"/>
          <w:i/>
          <w:iCs/>
          <w:sz w:val="22"/>
          <w:szCs w:val="22"/>
        </w:rPr>
        <w:t xml:space="preserve"> </w:t>
      </w:r>
      <w:r w:rsidR="003D2971" w:rsidRPr="003D2971">
        <w:rPr>
          <w:rFonts w:ascii="Times New Roman" w:hAnsi="Times New Roman" w:cs="Times New Roman"/>
          <w:i/>
          <w:iCs/>
          <w:sz w:val="22"/>
          <w:szCs w:val="22"/>
        </w:rPr>
        <w:t>X maddesi için LC</w:t>
      </w:r>
      <w:proofErr w:type="gramStart"/>
      <w:r w:rsidR="003D2971" w:rsidRPr="003D2971">
        <w:rPr>
          <w:rFonts w:ascii="Times New Roman" w:hAnsi="Times New Roman" w:cs="Times New Roman"/>
          <w:i/>
          <w:iCs/>
          <w:sz w:val="22"/>
          <w:szCs w:val="22"/>
        </w:rPr>
        <w:t>50  grafiği</w:t>
      </w:r>
      <w:proofErr w:type="gramEnd"/>
      <w:r w:rsidR="003D2971" w:rsidRPr="003D2971">
        <w:rPr>
          <w:rFonts w:ascii="Times New Roman" w:hAnsi="Times New Roman" w:cs="Times New Roman"/>
          <w:i/>
          <w:iCs/>
          <w:sz w:val="22"/>
          <w:szCs w:val="22"/>
        </w:rPr>
        <w:t xml:space="preserve"> </w:t>
      </w:r>
      <w:r>
        <w:rPr>
          <w:i/>
          <w:iCs/>
          <w:sz w:val="22"/>
          <w:szCs w:val="22"/>
        </w:rPr>
        <w:br w:type="page"/>
      </w:r>
    </w:p>
    <w:p w14:paraId="7E8EF057" w14:textId="2CD8262C" w:rsidR="003D2971" w:rsidRDefault="003D2971" w:rsidP="00384A9C">
      <w:pPr>
        <w:pStyle w:val="GvdeMetni"/>
        <w:jc w:val="both"/>
        <w:rPr>
          <w:b/>
          <w:bCs/>
          <w:sz w:val="22"/>
          <w:szCs w:val="22"/>
        </w:rPr>
      </w:pPr>
      <w:r>
        <w:rPr>
          <w:b/>
          <w:bCs/>
          <w:sz w:val="22"/>
          <w:szCs w:val="22"/>
        </w:rPr>
        <w:lastRenderedPageBreak/>
        <w:t xml:space="preserve">                                                                                                                                </w:t>
      </w:r>
      <w:r w:rsidRPr="003D2971">
        <w:rPr>
          <w:b/>
          <w:bCs/>
          <w:sz w:val="22"/>
          <w:szCs w:val="22"/>
        </w:rPr>
        <w:t>…./…./….</w:t>
      </w:r>
    </w:p>
    <w:p w14:paraId="274383EF" w14:textId="77777777" w:rsidR="003D2971" w:rsidRDefault="003D2971" w:rsidP="00384A9C">
      <w:pPr>
        <w:pStyle w:val="GvdeMetni"/>
        <w:jc w:val="both"/>
        <w:rPr>
          <w:b/>
          <w:bCs/>
          <w:sz w:val="22"/>
          <w:szCs w:val="22"/>
        </w:rPr>
      </w:pPr>
    </w:p>
    <w:p w14:paraId="7369EB89" w14:textId="3CCC2407" w:rsidR="007B1850" w:rsidRDefault="003D2971" w:rsidP="00384A9C">
      <w:pPr>
        <w:pStyle w:val="GvdeMetni"/>
        <w:jc w:val="both"/>
        <w:rPr>
          <w:b/>
          <w:bCs/>
          <w:sz w:val="22"/>
          <w:szCs w:val="22"/>
        </w:rPr>
      </w:pPr>
      <w:r w:rsidRPr="003D2971">
        <w:rPr>
          <w:b/>
          <w:bCs/>
          <w:sz w:val="22"/>
          <w:szCs w:val="22"/>
        </w:rPr>
        <w:t>Uçucu Zehirlerin Biyolojik Materyalde Mikrodifüzyon Tekniği ile Kalitatif Tanımlanmaları</w:t>
      </w:r>
    </w:p>
    <w:p w14:paraId="3D34B6BB" w14:textId="77777777" w:rsidR="003D2971" w:rsidRDefault="003D2971" w:rsidP="003D2971">
      <w:pPr>
        <w:rPr>
          <w:rFonts w:ascii="Times New Roman" w:eastAsia="Times New Roman" w:hAnsi="Times New Roman" w:cs="Times New Roman"/>
          <w:b/>
          <w:bCs/>
          <w:kern w:val="0"/>
          <w:sz w:val="22"/>
          <w:szCs w:val="22"/>
          <w14:ligatures w14:val="none"/>
        </w:rPr>
      </w:pPr>
    </w:p>
    <w:p w14:paraId="715F26D9" w14:textId="77777777" w:rsidR="003D2971" w:rsidRPr="003D2971" w:rsidRDefault="003D2971" w:rsidP="003D2971">
      <w:pPr>
        <w:rPr>
          <w:rFonts w:ascii="Times New Roman" w:hAnsi="Times New Roman" w:cs="Times New Roman"/>
        </w:rPr>
      </w:pPr>
      <w:r w:rsidRPr="003D2971">
        <w:rPr>
          <w:rFonts w:ascii="Times New Roman" w:hAnsi="Times New Roman" w:cs="Times New Roman"/>
        </w:rPr>
        <w:t>Öğrencinin Adı ve Soyadı: Numarası:</w:t>
      </w:r>
    </w:p>
    <w:p w14:paraId="6A623F40" w14:textId="77777777" w:rsidR="003D2971" w:rsidRPr="003D2971" w:rsidRDefault="003D2971" w:rsidP="003D2971">
      <w:pPr>
        <w:rPr>
          <w:rFonts w:ascii="Times New Roman" w:hAnsi="Times New Roman" w:cs="Times New Roman"/>
        </w:rPr>
      </w:pPr>
      <w:r w:rsidRPr="003D2971">
        <w:rPr>
          <w:rFonts w:ascii="Times New Roman" w:hAnsi="Times New Roman" w:cs="Times New Roman"/>
        </w:rPr>
        <w:t>Lab. Grubu: Örnek No:</w:t>
      </w:r>
    </w:p>
    <w:p w14:paraId="56217428" w14:textId="77777777" w:rsidR="003D2971" w:rsidRPr="003D2971" w:rsidRDefault="003D2971" w:rsidP="003D2971">
      <w:pPr>
        <w:rPr>
          <w:rFonts w:ascii="Times New Roman" w:hAnsi="Times New Roman" w:cs="Times New Roman"/>
        </w:rPr>
      </w:pPr>
    </w:p>
    <w:p w14:paraId="5C7210AD" w14:textId="77777777" w:rsidR="003D2971" w:rsidRPr="003D2971" w:rsidRDefault="003D2971" w:rsidP="003D2971">
      <w:pPr>
        <w:rPr>
          <w:rFonts w:ascii="Times New Roman" w:hAnsi="Times New Roman" w:cs="Times New Roman"/>
        </w:rPr>
      </w:pPr>
      <w:r w:rsidRPr="003D2971">
        <w:rPr>
          <w:rFonts w:ascii="Times New Roman" w:hAnsi="Times New Roman" w:cs="Times New Roman"/>
        </w:rPr>
        <w:t>Deneyin Esası:</w:t>
      </w:r>
    </w:p>
    <w:p w14:paraId="1EF69723" w14:textId="77777777" w:rsidR="003D2971" w:rsidRPr="003D2971" w:rsidRDefault="003D2971" w:rsidP="003D2971">
      <w:pPr>
        <w:rPr>
          <w:rFonts w:ascii="Times New Roman" w:hAnsi="Times New Roman" w:cs="Times New Roman"/>
        </w:rPr>
      </w:pPr>
    </w:p>
    <w:p w14:paraId="7510EED5" w14:textId="77777777" w:rsidR="003D2971" w:rsidRPr="003D2971" w:rsidRDefault="003D2971" w:rsidP="003D2971">
      <w:pPr>
        <w:rPr>
          <w:rFonts w:ascii="Times New Roman" w:hAnsi="Times New Roman" w:cs="Times New Roman"/>
        </w:rPr>
      </w:pPr>
    </w:p>
    <w:p w14:paraId="25A74868" w14:textId="77777777" w:rsidR="003D2971" w:rsidRPr="003D2971" w:rsidRDefault="003D2971" w:rsidP="003D2971">
      <w:pPr>
        <w:rPr>
          <w:rFonts w:ascii="Times New Roman" w:hAnsi="Times New Roman" w:cs="Times New Roman"/>
        </w:rPr>
      </w:pPr>
    </w:p>
    <w:p w14:paraId="1D918E55" w14:textId="77777777" w:rsidR="003D2971" w:rsidRPr="003D2971" w:rsidRDefault="003D2971" w:rsidP="003D2971">
      <w:pPr>
        <w:rPr>
          <w:rFonts w:ascii="Times New Roman" w:hAnsi="Times New Roman" w:cs="Times New Roman"/>
        </w:rPr>
      </w:pPr>
    </w:p>
    <w:p w14:paraId="740E1078" w14:textId="77777777" w:rsidR="003D2971" w:rsidRPr="003D2971" w:rsidRDefault="003D2971" w:rsidP="003D2971">
      <w:pPr>
        <w:rPr>
          <w:rFonts w:ascii="Times New Roman" w:hAnsi="Times New Roman" w:cs="Times New Roman"/>
        </w:rPr>
      </w:pPr>
      <w:r w:rsidRPr="003D2971">
        <w:rPr>
          <w:rFonts w:ascii="Times New Roman" w:hAnsi="Times New Roman" w:cs="Times New Roman"/>
        </w:rPr>
        <w:t>Tekniğin Esası:</w:t>
      </w:r>
    </w:p>
    <w:p w14:paraId="5A9AB145" w14:textId="77777777" w:rsidR="003D2971" w:rsidRPr="003D2971" w:rsidRDefault="003D2971" w:rsidP="003D2971">
      <w:pPr>
        <w:rPr>
          <w:rFonts w:ascii="Times New Roman" w:hAnsi="Times New Roman" w:cs="Times New Roman"/>
        </w:rPr>
      </w:pPr>
    </w:p>
    <w:p w14:paraId="7B8F90A2" w14:textId="77777777" w:rsidR="003D2971" w:rsidRPr="003D2971" w:rsidRDefault="003D2971" w:rsidP="003D2971">
      <w:pPr>
        <w:rPr>
          <w:rFonts w:ascii="Times New Roman" w:hAnsi="Times New Roman" w:cs="Times New Roman"/>
        </w:rPr>
      </w:pPr>
    </w:p>
    <w:p w14:paraId="4DAC9E9F" w14:textId="77777777" w:rsidR="003D2971" w:rsidRPr="003D2971" w:rsidRDefault="003D2971" w:rsidP="003D2971">
      <w:pPr>
        <w:rPr>
          <w:rFonts w:ascii="Times New Roman" w:hAnsi="Times New Roman" w:cs="Times New Roman"/>
        </w:rPr>
      </w:pPr>
    </w:p>
    <w:p w14:paraId="724E18B1" w14:textId="77777777" w:rsidR="003D2971" w:rsidRPr="003D2971" w:rsidRDefault="003D2971" w:rsidP="003D2971">
      <w:pPr>
        <w:rPr>
          <w:rFonts w:ascii="Times New Roman" w:hAnsi="Times New Roman" w:cs="Times New Roman"/>
        </w:rPr>
      </w:pPr>
    </w:p>
    <w:p w14:paraId="391643D3" w14:textId="77777777" w:rsidR="003D2971" w:rsidRPr="003D2971" w:rsidRDefault="003D2971" w:rsidP="003D2971">
      <w:pPr>
        <w:rPr>
          <w:rFonts w:ascii="Times New Roman" w:hAnsi="Times New Roman" w:cs="Times New Roman"/>
        </w:rPr>
      </w:pPr>
    </w:p>
    <w:p w14:paraId="2634C381" w14:textId="77777777" w:rsidR="003D2971" w:rsidRPr="003D2971" w:rsidRDefault="003D2971" w:rsidP="003D2971">
      <w:pPr>
        <w:rPr>
          <w:rFonts w:ascii="Times New Roman" w:hAnsi="Times New Roman" w:cs="Times New Roman"/>
        </w:rPr>
      </w:pPr>
    </w:p>
    <w:p w14:paraId="5F2D092B" w14:textId="77777777" w:rsidR="003D2971" w:rsidRDefault="003D2971" w:rsidP="003D2971">
      <w:pPr>
        <w:rPr>
          <w:rFonts w:ascii="Times New Roman" w:hAnsi="Times New Roman" w:cs="Times New Roman"/>
        </w:rPr>
      </w:pPr>
      <w:r w:rsidRPr="003D2971">
        <w:rPr>
          <w:rFonts w:ascii="Times New Roman" w:hAnsi="Times New Roman" w:cs="Times New Roman"/>
        </w:rPr>
        <w:t>Deneyin Sonu</w:t>
      </w:r>
    </w:p>
    <w:p w14:paraId="5DE585D1" w14:textId="77777777" w:rsidR="003D2971" w:rsidRDefault="003D2971" w:rsidP="003D2971">
      <w:pPr>
        <w:rPr>
          <w:rFonts w:ascii="Times New Roman" w:hAnsi="Times New Roman" w:cs="Times New Roman"/>
        </w:rPr>
      </w:pPr>
    </w:p>
    <w:p w14:paraId="71B32937" w14:textId="77777777" w:rsidR="003D2971" w:rsidRDefault="003D2971" w:rsidP="003D2971">
      <w:pPr>
        <w:rPr>
          <w:rFonts w:ascii="Times New Roman" w:hAnsi="Times New Roman" w:cs="Times New Roman"/>
        </w:rPr>
      </w:pPr>
    </w:p>
    <w:p w14:paraId="38FB6A53" w14:textId="77777777" w:rsidR="003D2971" w:rsidRDefault="003D2971" w:rsidP="003D2971">
      <w:pPr>
        <w:rPr>
          <w:rFonts w:ascii="Times New Roman" w:hAnsi="Times New Roman" w:cs="Times New Roman"/>
        </w:rPr>
      </w:pPr>
    </w:p>
    <w:p w14:paraId="24149598" w14:textId="0BBA973A" w:rsidR="003D2971" w:rsidRDefault="003D2971" w:rsidP="003D2971">
      <w:pPr>
        <w:rPr>
          <w:rFonts w:ascii="Times New Roman" w:hAnsi="Times New Roman" w:cs="Times New Roman"/>
        </w:rPr>
      </w:pPr>
      <w:r>
        <w:rPr>
          <w:rFonts w:ascii="Times New Roman" w:hAnsi="Times New Roman" w:cs="Times New Roman"/>
        </w:rPr>
        <w:t>Yorum:</w:t>
      </w:r>
    </w:p>
    <w:p w14:paraId="01157B98" w14:textId="77777777" w:rsidR="003D2971" w:rsidRDefault="003D2971">
      <w:pPr>
        <w:rPr>
          <w:rFonts w:ascii="Times New Roman" w:hAnsi="Times New Roman" w:cs="Times New Roman"/>
        </w:rPr>
      </w:pPr>
      <w:r>
        <w:rPr>
          <w:rFonts w:ascii="Times New Roman" w:hAnsi="Times New Roman" w:cs="Times New Roman"/>
        </w:rPr>
        <w:br w:type="page"/>
      </w:r>
    </w:p>
    <w:p w14:paraId="3371FEC1" w14:textId="77777777" w:rsidR="003D2971" w:rsidRDefault="003D2971" w:rsidP="003D2971">
      <w:pPr>
        <w:rPr>
          <w:rFonts w:ascii="Times New Roman" w:hAnsi="Times New Roman" w:cs="Times New Roman"/>
        </w:rPr>
      </w:pPr>
    </w:p>
    <w:p w14:paraId="0FAB8267" w14:textId="77A9F50B" w:rsidR="003D2971" w:rsidRPr="003D2971" w:rsidRDefault="003D2971" w:rsidP="003D2971">
      <w:pPr>
        <w:rPr>
          <w:rFonts w:ascii="Times New Roman" w:hAnsi="Times New Roman" w:cs="Times New Roman"/>
          <w:b/>
        </w:rPr>
      </w:pPr>
      <w:r>
        <w:rPr>
          <w:rFonts w:ascii="Times New Roman" w:hAnsi="Times New Roman" w:cs="Times New Roman"/>
          <w:b/>
        </w:rPr>
        <w:t xml:space="preserve">                                                                                                                                    </w:t>
      </w:r>
      <w:r w:rsidRPr="003D2971">
        <w:rPr>
          <w:rFonts w:ascii="Times New Roman" w:hAnsi="Times New Roman" w:cs="Times New Roman"/>
          <w:b/>
        </w:rPr>
        <w:t>…./…./….</w:t>
      </w:r>
    </w:p>
    <w:p w14:paraId="3F02A7CB" w14:textId="77777777" w:rsidR="003A5C5C" w:rsidRDefault="003D2971" w:rsidP="003D2971">
      <w:pPr>
        <w:rPr>
          <w:rFonts w:ascii="Times New Roman" w:hAnsi="Times New Roman" w:cs="Times New Roman"/>
        </w:rPr>
      </w:pPr>
      <w:r w:rsidRPr="003D2971">
        <w:rPr>
          <w:rFonts w:ascii="Times New Roman" w:hAnsi="Times New Roman" w:cs="Times New Roman"/>
          <w:b/>
        </w:rPr>
        <w:t>Sıklıkla Zehirlenmelere Neden Olan Analjezik İlaçların (Salisilatlar) Biyolojik Örnekte Spektrofotometrik Yöntemle Nicel Tayini</w:t>
      </w:r>
      <w:r w:rsidRPr="003D2971">
        <w:rPr>
          <w:rFonts w:ascii="Times New Roman" w:hAnsi="Times New Roman" w:cs="Times New Roman"/>
        </w:rPr>
        <w:t xml:space="preserve"> </w:t>
      </w:r>
    </w:p>
    <w:p w14:paraId="6A3AD88A" w14:textId="77777777" w:rsidR="003A5C5C" w:rsidRDefault="003A5C5C" w:rsidP="003D2971">
      <w:pPr>
        <w:rPr>
          <w:rFonts w:ascii="Times New Roman" w:hAnsi="Times New Roman" w:cs="Times New Roman"/>
        </w:rPr>
      </w:pPr>
    </w:p>
    <w:p w14:paraId="33A3A85F"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Öğrencinin Adı ve Soyadı: Numarası:</w:t>
      </w:r>
    </w:p>
    <w:p w14:paraId="287F1237"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Lab. Grubu: Örnek No:</w:t>
      </w:r>
    </w:p>
    <w:p w14:paraId="2DEA8952" w14:textId="77777777" w:rsidR="003A5C5C" w:rsidRPr="003A5C5C" w:rsidRDefault="003A5C5C" w:rsidP="003A5C5C">
      <w:pPr>
        <w:rPr>
          <w:rFonts w:ascii="Times New Roman" w:hAnsi="Times New Roman" w:cs="Times New Roman"/>
          <w:b/>
        </w:rPr>
      </w:pPr>
    </w:p>
    <w:p w14:paraId="19A2D141"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Deneyin Esası:</w:t>
      </w:r>
    </w:p>
    <w:p w14:paraId="16426283" w14:textId="77777777" w:rsidR="003A5C5C" w:rsidRPr="003A5C5C" w:rsidRDefault="003A5C5C" w:rsidP="003A5C5C">
      <w:pPr>
        <w:rPr>
          <w:rFonts w:ascii="Times New Roman" w:hAnsi="Times New Roman" w:cs="Times New Roman"/>
          <w:b/>
        </w:rPr>
      </w:pPr>
    </w:p>
    <w:p w14:paraId="0BCA0267" w14:textId="77777777" w:rsidR="003A5C5C" w:rsidRPr="003A5C5C" w:rsidRDefault="003A5C5C" w:rsidP="003A5C5C">
      <w:pPr>
        <w:rPr>
          <w:rFonts w:ascii="Times New Roman" w:hAnsi="Times New Roman" w:cs="Times New Roman"/>
          <w:b/>
        </w:rPr>
      </w:pPr>
    </w:p>
    <w:p w14:paraId="5FCACF7B" w14:textId="77777777" w:rsidR="003A5C5C" w:rsidRPr="003A5C5C" w:rsidRDefault="003A5C5C" w:rsidP="003A5C5C">
      <w:pPr>
        <w:rPr>
          <w:rFonts w:ascii="Times New Roman" w:hAnsi="Times New Roman" w:cs="Times New Roman"/>
          <w:b/>
        </w:rPr>
      </w:pPr>
    </w:p>
    <w:p w14:paraId="02868604" w14:textId="77777777" w:rsidR="003A5C5C" w:rsidRPr="003A5C5C" w:rsidRDefault="003A5C5C" w:rsidP="003A5C5C">
      <w:pPr>
        <w:rPr>
          <w:rFonts w:ascii="Times New Roman" w:hAnsi="Times New Roman" w:cs="Times New Roman"/>
          <w:b/>
        </w:rPr>
      </w:pPr>
    </w:p>
    <w:p w14:paraId="7DD0033E"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Tekniğin Esası:</w:t>
      </w:r>
    </w:p>
    <w:p w14:paraId="30195FC8" w14:textId="77777777" w:rsidR="003A5C5C" w:rsidRPr="003A5C5C" w:rsidRDefault="003A5C5C" w:rsidP="003A5C5C">
      <w:pPr>
        <w:rPr>
          <w:rFonts w:ascii="Times New Roman" w:hAnsi="Times New Roman" w:cs="Times New Roman"/>
          <w:b/>
        </w:rPr>
      </w:pPr>
    </w:p>
    <w:p w14:paraId="587C489B" w14:textId="77777777" w:rsidR="003A5C5C" w:rsidRPr="003A5C5C" w:rsidRDefault="003A5C5C" w:rsidP="003A5C5C">
      <w:pPr>
        <w:rPr>
          <w:rFonts w:ascii="Times New Roman" w:hAnsi="Times New Roman" w:cs="Times New Roman"/>
          <w:b/>
        </w:rPr>
      </w:pPr>
    </w:p>
    <w:p w14:paraId="32FA510E" w14:textId="77777777" w:rsidR="003A5C5C" w:rsidRPr="003A5C5C" w:rsidRDefault="003A5C5C" w:rsidP="003A5C5C">
      <w:pPr>
        <w:rPr>
          <w:rFonts w:ascii="Times New Roman" w:hAnsi="Times New Roman" w:cs="Times New Roman"/>
          <w:b/>
        </w:rPr>
      </w:pPr>
    </w:p>
    <w:p w14:paraId="48044B65" w14:textId="77777777" w:rsidR="003A5C5C" w:rsidRPr="003A5C5C" w:rsidRDefault="003A5C5C" w:rsidP="003A5C5C">
      <w:pPr>
        <w:rPr>
          <w:rFonts w:ascii="Times New Roman" w:hAnsi="Times New Roman" w:cs="Times New Roman"/>
          <w:b/>
        </w:rPr>
      </w:pPr>
    </w:p>
    <w:p w14:paraId="67CD3C34" w14:textId="77777777" w:rsidR="003A5C5C" w:rsidRPr="003A5C5C" w:rsidRDefault="003A5C5C" w:rsidP="003A5C5C">
      <w:pPr>
        <w:rPr>
          <w:rFonts w:ascii="Times New Roman" w:hAnsi="Times New Roman" w:cs="Times New Roman"/>
          <w:b/>
        </w:rPr>
      </w:pPr>
    </w:p>
    <w:p w14:paraId="478B80EA" w14:textId="77777777" w:rsidR="003A5C5C" w:rsidRPr="003A5C5C" w:rsidRDefault="003A5C5C" w:rsidP="003A5C5C">
      <w:pPr>
        <w:rPr>
          <w:rFonts w:ascii="Times New Roman" w:hAnsi="Times New Roman" w:cs="Times New Roman"/>
          <w:b/>
        </w:rPr>
      </w:pPr>
    </w:p>
    <w:p w14:paraId="4DDD6BAC"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Deneyin Sonucu:</w:t>
      </w:r>
    </w:p>
    <w:p w14:paraId="42787715" w14:textId="77777777" w:rsidR="003A5C5C" w:rsidRPr="003A5C5C" w:rsidRDefault="003A5C5C" w:rsidP="003A5C5C">
      <w:pPr>
        <w:rPr>
          <w:rFonts w:ascii="Times New Roman" w:hAnsi="Times New Roman" w:cs="Times New Roman"/>
          <w:b/>
        </w:rPr>
      </w:pPr>
    </w:p>
    <w:p w14:paraId="227D330D" w14:textId="77777777" w:rsidR="003A5C5C" w:rsidRPr="003A5C5C" w:rsidRDefault="003A5C5C" w:rsidP="003A5C5C">
      <w:pPr>
        <w:rPr>
          <w:rFonts w:ascii="Times New Roman" w:hAnsi="Times New Roman" w:cs="Times New Roman"/>
          <w:b/>
        </w:rPr>
      </w:pPr>
    </w:p>
    <w:p w14:paraId="381C4C12" w14:textId="77777777" w:rsidR="003A5C5C" w:rsidRPr="003A5C5C" w:rsidRDefault="003A5C5C" w:rsidP="003A5C5C">
      <w:pPr>
        <w:rPr>
          <w:rFonts w:ascii="Times New Roman" w:hAnsi="Times New Roman" w:cs="Times New Roman"/>
          <w:b/>
        </w:rPr>
      </w:pPr>
    </w:p>
    <w:p w14:paraId="309F19EB" w14:textId="77777777" w:rsidR="003A5C5C" w:rsidRPr="003A5C5C" w:rsidRDefault="003A5C5C" w:rsidP="003A5C5C">
      <w:pPr>
        <w:rPr>
          <w:rFonts w:ascii="Times New Roman" w:hAnsi="Times New Roman" w:cs="Times New Roman"/>
          <w:b/>
        </w:rPr>
      </w:pPr>
    </w:p>
    <w:p w14:paraId="0E462B07"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Yorum:</w:t>
      </w:r>
    </w:p>
    <w:p w14:paraId="3BFCED3D" w14:textId="63EBDAEE" w:rsidR="003D2971" w:rsidRDefault="003D2971" w:rsidP="003D2971">
      <w:pPr>
        <w:rPr>
          <w:rFonts w:ascii="Times New Roman" w:hAnsi="Times New Roman" w:cs="Times New Roman"/>
        </w:rPr>
      </w:pPr>
      <w:r>
        <w:rPr>
          <w:rFonts w:ascii="Times New Roman" w:hAnsi="Times New Roman" w:cs="Times New Roman"/>
        </w:rPr>
        <w:br w:type="page"/>
      </w:r>
    </w:p>
    <w:p w14:paraId="75036FC1" w14:textId="3627ECA7" w:rsidR="003A5C5C" w:rsidRPr="003A5C5C" w:rsidRDefault="003A5C5C" w:rsidP="003A5C5C">
      <w:pPr>
        <w:rPr>
          <w:rFonts w:ascii="Times New Roman" w:hAnsi="Times New Roman" w:cs="Times New Roman"/>
          <w:b/>
        </w:rPr>
      </w:pPr>
      <w:r>
        <w:rPr>
          <w:rFonts w:ascii="Times New Roman" w:hAnsi="Times New Roman" w:cs="Times New Roman"/>
          <w:b/>
        </w:rPr>
        <w:lastRenderedPageBreak/>
        <w:t xml:space="preserve">                                                                                                                                     </w:t>
      </w:r>
      <w:r w:rsidRPr="003A5C5C">
        <w:rPr>
          <w:rFonts w:ascii="Times New Roman" w:hAnsi="Times New Roman" w:cs="Times New Roman"/>
          <w:b/>
        </w:rPr>
        <w:t>…./…./….</w:t>
      </w:r>
    </w:p>
    <w:p w14:paraId="1FE33A73"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Sıklıkla Zehirlenmelere Neden Olan Asidik ve Bazik İlaçların Biyolojik Örnekten İzolasyonu ve Temel Tanıma Testleri</w:t>
      </w:r>
    </w:p>
    <w:p w14:paraId="6B4600A7" w14:textId="77777777" w:rsidR="003A5C5C" w:rsidRPr="003A5C5C" w:rsidRDefault="003A5C5C" w:rsidP="003A5C5C">
      <w:pPr>
        <w:rPr>
          <w:rFonts w:ascii="Times New Roman" w:hAnsi="Times New Roman" w:cs="Times New Roman"/>
          <w:b/>
        </w:rPr>
      </w:pPr>
    </w:p>
    <w:p w14:paraId="7793ED51" w14:textId="77777777" w:rsidR="003A5C5C" w:rsidRPr="003A5C5C" w:rsidRDefault="003A5C5C" w:rsidP="003A5C5C">
      <w:pPr>
        <w:rPr>
          <w:rFonts w:ascii="Times New Roman" w:hAnsi="Times New Roman" w:cs="Times New Roman"/>
          <w:b/>
        </w:rPr>
      </w:pPr>
    </w:p>
    <w:p w14:paraId="010436F0"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Öğrencinin Adı ve Soyadı: Numarası:</w:t>
      </w:r>
    </w:p>
    <w:p w14:paraId="19BC4811"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Lab. Grubu: Örnek No:</w:t>
      </w:r>
    </w:p>
    <w:p w14:paraId="67257477" w14:textId="77777777" w:rsidR="003A5C5C" w:rsidRPr="003A5C5C" w:rsidRDefault="003A5C5C" w:rsidP="003A5C5C">
      <w:pPr>
        <w:rPr>
          <w:rFonts w:ascii="Times New Roman" w:hAnsi="Times New Roman" w:cs="Times New Roman"/>
          <w:b/>
        </w:rPr>
      </w:pPr>
    </w:p>
    <w:p w14:paraId="22F1D8BB"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Deneyin Esası:</w:t>
      </w:r>
    </w:p>
    <w:p w14:paraId="3314317C" w14:textId="77777777" w:rsidR="003A5C5C" w:rsidRPr="003A5C5C" w:rsidRDefault="003A5C5C" w:rsidP="003A5C5C">
      <w:pPr>
        <w:rPr>
          <w:rFonts w:ascii="Times New Roman" w:hAnsi="Times New Roman" w:cs="Times New Roman"/>
          <w:b/>
        </w:rPr>
      </w:pPr>
    </w:p>
    <w:p w14:paraId="28BB3AB0" w14:textId="77777777" w:rsidR="003A5C5C" w:rsidRPr="003A5C5C" w:rsidRDefault="003A5C5C" w:rsidP="003A5C5C">
      <w:pPr>
        <w:rPr>
          <w:rFonts w:ascii="Times New Roman" w:hAnsi="Times New Roman" w:cs="Times New Roman"/>
          <w:b/>
        </w:rPr>
      </w:pPr>
    </w:p>
    <w:p w14:paraId="31C74735" w14:textId="77777777" w:rsidR="003A5C5C" w:rsidRPr="003A5C5C" w:rsidRDefault="003A5C5C" w:rsidP="003A5C5C">
      <w:pPr>
        <w:rPr>
          <w:rFonts w:ascii="Times New Roman" w:hAnsi="Times New Roman" w:cs="Times New Roman"/>
          <w:b/>
        </w:rPr>
      </w:pPr>
    </w:p>
    <w:p w14:paraId="45038ADB" w14:textId="77777777" w:rsidR="003A5C5C" w:rsidRPr="003A5C5C" w:rsidRDefault="003A5C5C" w:rsidP="003A5C5C">
      <w:pPr>
        <w:rPr>
          <w:rFonts w:ascii="Times New Roman" w:hAnsi="Times New Roman" w:cs="Times New Roman"/>
          <w:b/>
        </w:rPr>
      </w:pPr>
    </w:p>
    <w:p w14:paraId="33F2BBCA"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Tekniğin Esası:</w:t>
      </w:r>
    </w:p>
    <w:p w14:paraId="021B121F" w14:textId="77777777" w:rsidR="003A5C5C" w:rsidRPr="003A5C5C" w:rsidRDefault="003A5C5C" w:rsidP="003A5C5C">
      <w:pPr>
        <w:rPr>
          <w:rFonts w:ascii="Times New Roman" w:hAnsi="Times New Roman" w:cs="Times New Roman"/>
          <w:b/>
        </w:rPr>
      </w:pPr>
    </w:p>
    <w:p w14:paraId="6392EBA7" w14:textId="77777777" w:rsidR="003A5C5C" w:rsidRPr="003A5C5C" w:rsidRDefault="003A5C5C" w:rsidP="003A5C5C">
      <w:pPr>
        <w:rPr>
          <w:rFonts w:ascii="Times New Roman" w:hAnsi="Times New Roman" w:cs="Times New Roman"/>
          <w:b/>
        </w:rPr>
      </w:pPr>
    </w:p>
    <w:p w14:paraId="16674EF3" w14:textId="77777777" w:rsidR="003A5C5C" w:rsidRPr="003A5C5C" w:rsidRDefault="003A5C5C" w:rsidP="003A5C5C">
      <w:pPr>
        <w:rPr>
          <w:rFonts w:ascii="Times New Roman" w:hAnsi="Times New Roman" w:cs="Times New Roman"/>
          <w:b/>
        </w:rPr>
      </w:pPr>
    </w:p>
    <w:p w14:paraId="144C6C43" w14:textId="77777777" w:rsidR="003A5C5C" w:rsidRPr="003A5C5C" w:rsidRDefault="003A5C5C" w:rsidP="003A5C5C">
      <w:pPr>
        <w:rPr>
          <w:rFonts w:ascii="Times New Roman" w:hAnsi="Times New Roman" w:cs="Times New Roman"/>
          <w:b/>
        </w:rPr>
      </w:pPr>
    </w:p>
    <w:p w14:paraId="52E211B8" w14:textId="77777777" w:rsidR="003A5C5C" w:rsidRPr="003A5C5C" w:rsidRDefault="003A5C5C" w:rsidP="003A5C5C">
      <w:pPr>
        <w:rPr>
          <w:rFonts w:ascii="Times New Roman" w:hAnsi="Times New Roman" w:cs="Times New Roman"/>
          <w:b/>
        </w:rPr>
      </w:pPr>
    </w:p>
    <w:p w14:paraId="45CE8F58" w14:textId="77777777" w:rsidR="003A5C5C" w:rsidRPr="003A5C5C" w:rsidRDefault="003A5C5C" w:rsidP="003A5C5C">
      <w:pPr>
        <w:rPr>
          <w:rFonts w:ascii="Times New Roman" w:hAnsi="Times New Roman" w:cs="Times New Roman"/>
          <w:b/>
        </w:rPr>
      </w:pPr>
    </w:p>
    <w:p w14:paraId="205DF218"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Deneyin Sonucu:</w:t>
      </w:r>
    </w:p>
    <w:p w14:paraId="4F1D555D" w14:textId="77777777" w:rsidR="003A5C5C" w:rsidRPr="003A5C5C" w:rsidRDefault="003A5C5C" w:rsidP="003A5C5C">
      <w:pPr>
        <w:rPr>
          <w:rFonts w:ascii="Times New Roman" w:hAnsi="Times New Roman" w:cs="Times New Roman"/>
          <w:b/>
        </w:rPr>
      </w:pPr>
    </w:p>
    <w:p w14:paraId="3360B80A" w14:textId="77777777" w:rsidR="003A5C5C" w:rsidRPr="003A5C5C" w:rsidRDefault="003A5C5C" w:rsidP="003A5C5C">
      <w:pPr>
        <w:rPr>
          <w:rFonts w:ascii="Times New Roman" w:hAnsi="Times New Roman" w:cs="Times New Roman"/>
          <w:b/>
        </w:rPr>
      </w:pPr>
    </w:p>
    <w:p w14:paraId="208116A6" w14:textId="77777777" w:rsidR="003A5C5C" w:rsidRPr="003A5C5C" w:rsidRDefault="003A5C5C" w:rsidP="003A5C5C">
      <w:pPr>
        <w:rPr>
          <w:rFonts w:ascii="Times New Roman" w:hAnsi="Times New Roman" w:cs="Times New Roman"/>
          <w:b/>
        </w:rPr>
      </w:pPr>
    </w:p>
    <w:p w14:paraId="134EAEEE" w14:textId="77777777" w:rsidR="003A5C5C" w:rsidRPr="003A5C5C" w:rsidRDefault="003A5C5C" w:rsidP="003A5C5C">
      <w:pPr>
        <w:rPr>
          <w:rFonts w:ascii="Times New Roman" w:hAnsi="Times New Roman" w:cs="Times New Roman"/>
          <w:b/>
        </w:rPr>
      </w:pPr>
    </w:p>
    <w:p w14:paraId="4C99A505" w14:textId="77777777" w:rsidR="003A5C5C" w:rsidRPr="003A5C5C" w:rsidRDefault="003A5C5C" w:rsidP="003A5C5C">
      <w:pPr>
        <w:rPr>
          <w:rFonts w:ascii="Times New Roman" w:hAnsi="Times New Roman" w:cs="Times New Roman"/>
          <w:b/>
        </w:rPr>
      </w:pPr>
    </w:p>
    <w:p w14:paraId="63EC4878"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Yorum:</w:t>
      </w:r>
    </w:p>
    <w:p w14:paraId="4CF56591" w14:textId="5524C7D0" w:rsidR="003D2971" w:rsidRDefault="003D2971" w:rsidP="003D2971">
      <w:pPr>
        <w:rPr>
          <w:rFonts w:ascii="Times New Roman" w:hAnsi="Times New Roman" w:cs="Times New Roman"/>
        </w:rPr>
      </w:pPr>
    </w:p>
    <w:p w14:paraId="25AABD44" w14:textId="77777777" w:rsidR="003A5C5C" w:rsidRDefault="003A5C5C" w:rsidP="003D2971">
      <w:pPr>
        <w:rPr>
          <w:rFonts w:ascii="Times New Roman" w:hAnsi="Times New Roman" w:cs="Times New Roman"/>
        </w:rPr>
      </w:pPr>
    </w:p>
    <w:p w14:paraId="70DCDFB5" w14:textId="0815159B" w:rsidR="003A5C5C" w:rsidRPr="003A5C5C" w:rsidRDefault="003A5C5C" w:rsidP="003A5C5C">
      <w:pPr>
        <w:rPr>
          <w:rFonts w:ascii="Times New Roman" w:hAnsi="Times New Roman" w:cs="Times New Roman"/>
          <w:b/>
        </w:rPr>
      </w:pPr>
      <w:r>
        <w:rPr>
          <w:rFonts w:ascii="Times New Roman" w:hAnsi="Times New Roman" w:cs="Times New Roman"/>
          <w:b/>
        </w:rPr>
        <w:lastRenderedPageBreak/>
        <w:t xml:space="preserve">                                                                                                                                     </w:t>
      </w:r>
      <w:r w:rsidRPr="003A5C5C">
        <w:rPr>
          <w:rFonts w:ascii="Times New Roman" w:hAnsi="Times New Roman" w:cs="Times New Roman"/>
          <w:b/>
        </w:rPr>
        <w:t>…./…./….</w:t>
      </w:r>
    </w:p>
    <w:p w14:paraId="647F0FB3"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Süt ve Süt Ürünlerinde Koruyucu Madde Analizleri</w:t>
      </w:r>
    </w:p>
    <w:p w14:paraId="798A240F" w14:textId="77777777" w:rsidR="003A5C5C" w:rsidRPr="003A5C5C" w:rsidRDefault="003A5C5C" w:rsidP="003A5C5C">
      <w:pPr>
        <w:rPr>
          <w:rFonts w:ascii="Times New Roman" w:hAnsi="Times New Roman" w:cs="Times New Roman"/>
          <w:b/>
        </w:rPr>
      </w:pPr>
    </w:p>
    <w:p w14:paraId="43965214" w14:textId="77777777" w:rsidR="003A5C5C" w:rsidRPr="003A5C5C" w:rsidRDefault="003A5C5C" w:rsidP="003A5C5C">
      <w:pPr>
        <w:rPr>
          <w:rFonts w:ascii="Times New Roman" w:hAnsi="Times New Roman" w:cs="Times New Roman"/>
          <w:b/>
        </w:rPr>
      </w:pPr>
    </w:p>
    <w:p w14:paraId="78D7A234"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Öğrencinin Adı ve Soyadı: Numarası:</w:t>
      </w:r>
    </w:p>
    <w:p w14:paraId="03769609"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Lab. Grubu: Örnek No:</w:t>
      </w:r>
    </w:p>
    <w:p w14:paraId="77669588" w14:textId="77777777" w:rsidR="003A5C5C" w:rsidRPr="003A5C5C" w:rsidRDefault="003A5C5C" w:rsidP="003A5C5C">
      <w:pPr>
        <w:rPr>
          <w:rFonts w:ascii="Times New Roman" w:hAnsi="Times New Roman" w:cs="Times New Roman"/>
          <w:b/>
        </w:rPr>
      </w:pPr>
    </w:p>
    <w:p w14:paraId="35838070"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Deneyin Esası:</w:t>
      </w:r>
    </w:p>
    <w:p w14:paraId="10E3103F" w14:textId="77777777" w:rsidR="003A5C5C" w:rsidRPr="003A5C5C" w:rsidRDefault="003A5C5C" w:rsidP="003A5C5C">
      <w:pPr>
        <w:rPr>
          <w:rFonts w:ascii="Times New Roman" w:hAnsi="Times New Roman" w:cs="Times New Roman"/>
          <w:b/>
        </w:rPr>
      </w:pPr>
    </w:p>
    <w:p w14:paraId="71F30645" w14:textId="77777777" w:rsidR="003A5C5C" w:rsidRPr="003A5C5C" w:rsidRDefault="003A5C5C" w:rsidP="003A5C5C">
      <w:pPr>
        <w:rPr>
          <w:rFonts w:ascii="Times New Roman" w:hAnsi="Times New Roman" w:cs="Times New Roman"/>
          <w:b/>
        </w:rPr>
      </w:pPr>
    </w:p>
    <w:p w14:paraId="1344668D" w14:textId="77777777" w:rsidR="003A5C5C" w:rsidRPr="003A5C5C" w:rsidRDefault="003A5C5C" w:rsidP="003A5C5C">
      <w:pPr>
        <w:rPr>
          <w:rFonts w:ascii="Times New Roman" w:hAnsi="Times New Roman" w:cs="Times New Roman"/>
          <w:b/>
        </w:rPr>
      </w:pPr>
    </w:p>
    <w:p w14:paraId="421EEED6" w14:textId="77777777" w:rsidR="003A5C5C" w:rsidRPr="003A5C5C" w:rsidRDefault="003A5C5C" w:rsidP="003A5C5C">
      <w:pPr>
        <w:rPr>
          <w:rFonts w:ascii="Times New Roman" w:hAnsi="Times New Roman" w:cs="Times New Roman"/>
          <w:b/>
        </w:rPr>
      </w:pPr>
    </w:p>
    <w:p w14:paraId="37BD69C0"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Tekniğin Esası:</w:t>
      </w:r>
    </w:p>
    <w:p w14:paraId="788EB4B3" w14:textId="77777777" w:rsidR="003A5C5C" w:rsidRPr="003A5C5C" w:rsidRDefault="003A5C5C" w:rsidP="003A5C5C">
      <w:pPr>
        <w:rPr>
          <w:rFonts w:ascii="Times New Roman" w:hAnsi="Times New Roman" w:cs="Times New Roman"/>
          <w:b/>
        </w:rPr>
      </w:pPr>
    </w:p>
    <w:p w14:paraId="15B741F3" w14:textId="77777777" w:rsidR="003A5C5C" w:rsidRPr="003A5C5C" w:rsidRDefault="003A5C5C" w:rsidP="003A5C5C">
      <w:pPr>
        <w:rPr>
          <w:rFonts w:ascii="Times New Roman" w:hAnsi="Times New Roman" w:cs="Times New Roman"/>
          <w:b/>
        </w:rPr>
      </w:pPr>
    </w:p>
    <w:p w14:paraId="3269B1C3" w14:textId="77777777" w:rsidR="003A5C5C" w:rsidRPr="003A5C5C" w:rsidRDefault="003A5C5C" w:rsidP="003A5C5C">
      <w:pPr>
        <w:rPr>
          <w:rFonts w:ascii="Times New Roman" w:hAnsi="Times New Roman" w:cs="Times New Roman"/>
          <w:b/>
        </w:rPr>
      </w:pPr>
    </w:p>
    <w:p w14:paraId="1BD55F4F" w14:textId="77777777" w:rsidR="003A5C5C" w:rsidRPr="003A5C5C" w:rsidRDefault="003A5C5C" w:rsidP="003A5C5C">
      <w:pPr>
        <w:rPr>
          <w:rFonts w:ascii="Times New Roman" w:hAnsi="Times New Roman" w:cs="Times New Roman"/>
          <w:b/>
        </w:rPr>
      </w:pPr>
    </w:p>
    <w:p w14:paraId="63B60887" w14:textId="77777777" w:rsidR="003A5C5C" w:rsidRPr="003A5C5C" w:rsidRDefault="003A5C5C" w:rsidP="003A5C5C">
      <w:pPr>
        <w:rPr>
          <w:rFonts w:ascii="Times New Roman" w:hAnsi="Times New Roman" w:cs="Times New Roman"/>
          <w:b/>
        </w:rPr>
      </w:pPr>
    </w:p>
    <w:p w14:paraId="59721109" w14:textId="77777777" w:rsidR="003A5C5C" w:rsidRPr="003A5C5C" w:rsidRDefault="003A5C5C" w:rsidP="003A5C5C">
      <w:pPr>
        <w:rPr>
          <w:rFonts w:ascii="Times New Roman" w:hAnsi="Times New Roman" w:cs="Times New Roman"/>
          <w:b/>
        </w:rPr>
      </w:pPr>
    </w:p>
    <w:p w14:paraId="080478FD"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Deneyin Sonucu:</w:t>
      </w:r>
    </w:p>
    <w:p w14:paraId="2EA238E9" w14:textId="77777777" w:rsidR="003A5C5C" w:rsidRPr="003A5C5C" w:rsidRDefault="003A5C5C" w:rsidP="003A5C5C">
      <w:pPr>
        <w:rPr>
          <w:rFonts w:ascii="Times New Roman" w:hAnsi="Times New Roman" w:cs="Times New Roman"/>
          <w:b/>
        </w:rPr>
      </w:pPr>
    </w:p>
    <w:p w14:paraId="206E0290" w14:textId="77777777" w:rsidR="003A5C5C" w:rsidRPr="003A5C5C" w:rsidRDefault="003A5C5C" w:rsidP="003A5C5C">
      <w:pPr>
        <w:rPr>
          <w:rFonts w:ascii="Times New Roman" w:hAnsi="Times New Roman" w:cs="Times New Roman"/>
          <w:b/>
        </w:rPr>
      </w:pPr>
    </w:p>
    <w:p w14:paraId="3764FF77" w14:textId="77777777" w:rsidR="003A5C5C" w:rsidRPr="003A5C5C" w:rsidRDefault="003A5C5C" w:rsidP="003A5C5C">
      <w:pPr>
        <w:rPr>
          <w:rFonts w:ascii="Times New Roman" w:hAnsi="Times New Roman" w:cs="Times New Roman"/>
          <w:b/>
        </w:rPr>
      </w:pPr>
    </w:p>
    <w:p w14:paraId="24931030" w14:textId="77777777" w:rsidR="003A5C5C" w:rsidRPr="003A5C5C" w:rsidRDefault="003A5C5C" w:rsidP="003A5C5C">
      <w:pPr>
        <w:rPr>
          <w:rFonts w:ascii="Times New Roman" w:hAnsi="Times New Roman" w:cs="Times New Roman"/>
          <w:b/>
        </w:rPr>
      </w:pPr>
    </w:p>
    <w:p w14:paraId="38E0B85C" w14:textId="77777777" w:rsidR="003A5C5C" w:rsidRPr="003A5C5C" w:rsidRDefault="003A5C5C" w:rsidP="003A5C5C">
      <w:pPr>
        <w:rPr>
          <w:rFonts w:ascii="Times New Roman" w:hAnsi="Times New Roman" w:cs="Times New Roman"/>
          <w:b/>
        </w:rPr>
      </w:pPr>
    </w:p>
    <w:p w14:paraId="200D80BC" w14:textId="77777777" w:rsidR="003A5C5C" w:rsidRPr="003A5C5C" w:rsidRDefault="003A5C5C" w:rsidP="003A5C5C">
      <w:pPr>
        <w:rPr>
          <w:rFonts w:ascii="Times New Roman" w:hAnsi="Times New Roman" w:cs="Times New Roman"/>
          <w:b/>
        </w:rPr>
      </w:pPr>
    </w:p>
    <w:p w14:paraId="41106192" w14:textId="77777777" w:rsidR="003A5C5C" w:rsidRPr="003A5C5C" w:rsidRDefault="003A5C5C" w:rsidP="003A5C5C">
      <w:pPr>
        <w:rPr>
          <w:rFonts w:ascii="Times New Roman" w:hAnsi="Times New Roman" w:cs="Times New Roman"/>
          <w:b/>
        </w:rPr>
      </w:pPr>
      <w:r w:rsidRPr="003A5C5C">
        <w:rPr>
          <w:rFonts w:ascii="Times New Roman" w:hAnsi="Times New Roman" w:cs="Times New Roman"/>
          <w:b/>
        </w:rPr>
        <w:t>Yorum:</w:t>
      </w:r>
    </w:p>
    <w:p w14:paraId="0EBDCD35" w14:textId="77777777" w:rsidR="003A5C5C" w:rsidRDefault="003A5C5C" w:rsidP="003D2971">
      <w:pPr>
        <w:rPr>
          <w:rFonts w:ascii="Times New Roman" w:hAnsi="Times New Roman" w:cs="Times New Roman"/>
        </w:rPr>
      </w:pPr>
    </w:p>
    <w:p w14:paraId="5F12F699" w14:textId="77777777" w:rsidR="003A5C5C" w:rsidRDefault="003A5C5C" w:rsidP="003D2971">
      <w:pPr>
        <w:rPr>
          <w:rFonts w:ascii="Times New Roman" w:hAnsi="Times New Roman" w:cs="Times New Roman"/>
        </w:rPr>
      </w:pPr>
    </w:p>
    <w:p w14:paraId="56C0D3BA" w14:textId="77777777" w:rsidR="003A5C5C" w:rsidRPr="003A5C5C" w:rsidRDefault="003A5C5C" w:rsidP="003A5C5C">
      <w:pPr>
        <w:widowControl w:val="0"/>
        <w:autoSpaceDE w:val="0"/>
        <w:autoSpaceDN w:val="0"/>
        <w:spacing w:before="74" w:after="0" w:line="240" w:lineRule="auto"/>
        <w:ind w:right="422"/>
        <w:jc w:val="right"/>
        <w:rPr>
          <w:rFonts w:ascii="Times New Roman" w:eastAsia="Times New Roman" w:hAnsi="Times New Roman" w:cs="Times New Roman"/>
          <w:b/>
          <w:kern w:val="0"/>
          <w:szCs w:val="22"/>
          <w14:ligatures w14:val="none"/>
        </w:rPr>
      </w:pPr>
      <w:r w:rsidRPr="003A5C5C">
        <w:rPr>
          <w:rFonts w:ascii="Times New Roman" w:eastAsia="Times New Roman" w:hAnsi="Times New Roman" w:cs="Times New Roman"/>
          <w:b/>
          <w:spacing w:val="-2"/>
          <w:kern w:val="0"/>
          <w:szCs w:val="22"/>
          <w14:ligatures w14:val="none"/>
        </w:rPr>
        <w:lastRenderedPageBreak/>
        <w:t>…./…./….</w:t>
      </w:r>
    </w:p>
    <w:p w14:paraId="3E877BFC" w14:textId="77777777" w:rsidR="003A5C5C" w:rsidRPr="003A5C5C" w:rsidRDefault="003A5C5C" w:rsidP="003A5C5C">
      <w:pPr>
        <w:widowControl w:val="0"/>
        <w:autoSpaceDE w:val="0"/>
        <w:autoSpaceDN w:val="0"/>
        <w:spacing w:before="183" w:after="0" w:line="240" w:lineRule="auto"/>
        <w:ind w:left="1101"/>
        <w:rPr>
          <w:rFonts w:ascii="Times New Roman" w:eastAsia="Times New Roman" w:hAnsi="Times New Roman" w:cs="Times New Roman"/>
          <w:b/>
          <w:kern w:val="0"/>
          <w:szCs w:val="22"/>
          <w14:ligatures w14:val="none"/>
        </w:rPr>
      </w:pPr>
      <w:r w:rsidRPr="003A5C5C">
        <w:rPr>
          <w:rFonts w:ascii="Times New Roman" w:eastAsia="Times New Roman" w:hAnsi="Times New Roman" w:cs="Times New Roman"/>
          <w:b/>
          <w:kern w:val="0"/>
          <w:szCs w:val="22"/>
          <w14:ligatures w14:val="none"/>
        </w:rPr>
        <w:t>Et</w:t>
      </w:r>
      <w:r w:rsidRPr="003A5C5C">
        <w:rPr>
          <w:rFonts w:ascii="Times New Roman" w:eastAsia="Times New Roman" w:hAnsi="Times New Roman" w:cs="Times New Roman"/>
          <w:b/>
          <w:spacing w:val="-4"/>
          <w:kern w:val="0"/>
          <w:szCs w:val="22"/>
          <w14:ligatures w14:val="none"/>
        </w:rPr>
        <w:t xml:space="preserve"> </w:t>
      </w:r>
      <w:r w:rsidRPr="003A5C5C">
        <w:rPr>
          <w:rFonts w:ascii="Times New Roman" w:eastAsia="Times New Roman" w:hAnsi="Times New Roman" w:cs="Times New Roman"/>
          <w:b/>
          <w:kern w:val="0"/>
          <w:szCs w:val="22"/>
          <w14:ligatures w14:val="none"/>
        </w:rPr>
        <w:t>Ürünlerinde</w:t>
      </w:r>
      <w:r w:rsidRPr="003A5C5C">
        <w:rPr>
          <w:rFonts w:ascii="Times New Roman" w:eastAsia="Times New Roman" w:hAnsi="Times New Roman" w:cs="Times New Roman"/>
          <w:b/>
          <w:spacing w:val="-4"/>
          <w:kern w:val="0"/>
          <w:szCs w:val="22"/>
          <w14:ligatures w14:val="none"/>
        </w:rPr>
        <w:t xml:space="preserve"> </w:t>
      </w:r>
      <w:r w:rsidRPr="003A5C5C">
        <w:rPr>
          <w:rFonts w:ascii="Times New Roman" w:eastAsia="Times New Roman" w:hAnsi="Times New Roman" w:cs="Times New Roman"/>
          <w:b/>
          <w:kern w:val="0"/>
          <w:szCs w:val="22"/>
          <w14:ligatures w14:val="none"/>
        </w:rPr>
        <w:t>Nitrit</w:t>
      </w:r>
      <w:r w:rsidRPr="003A5C5C">
        <w:rPr>
          <w:rFonts w:ascii="Times New Roman" w:eastAsia="Times New Roman" w:hAnsi="Times New Roman" w:cs="Times New Roman"/>
          <w:b/>
          <w:spacing w:val="-2"/>
          <w:kern w:val="0"/>
          <w:szCs w:val="22"/>
          <w14:ligatures w14:val="none"/>
        </w:rPr>
        <w:t xml:space="preserve"> </w:t>
      </w:r>
      <w:r w:rsidRPr="003A5C5C">
        <w:rPr>
          <w:rFonts w:ascii="Times New Roman" w:eastAsia="Times New Roman" w:hAnsi="Times New Roman" w:cs="Times New Roman"/>
          <w:b/>
          <w:kern w:val="0"/>
          <w:szCs w:val="22"/>
          <w14:ligatures w14:val="none"/>
        </w:rPr>
        <w:t>Miktarının Spektrofotometrik</w:t>
      </w:r>
      <w:r w:rsidRPr="003A5C5C">
        <w:rPr>
          <w:rFonts w:ascii="Times New Roman" w:eastAsia="Times New Roman" w:hAnsi="Times New Roman" w:cs="Times New Roman"/>
          <w:b/>
          <w:spacing w:val="-2"/>
          <w:kern w:val="0"/>
          <w:szCs w:val="22"/>
          <w14:ligatures w14:val="none"/>
        </w:rPr>
        <w:t xml:space="preserve"> </w:t>
      </w:r>
      <w:r w:rsidRPr="003A5C5C">
        <w:rPr>
          <w:rFonts w:ascii="Times New Roman" w:eastAsia="Times New Roman" w:hAnsi="Times New Roman" w:cs="Times New Roman"/>
          <w:b/>
          <w:kern w:val="0"/>
          <w:szCs w:val="22"/>
          <w14:ligatures w14:val="none"/>
        </w:rPr>
        <w:t>Yöntemle</w:t>
      </w:r>
      <w:r w:rsidRPr="003A5C5C">
        <w:rPr>
          <w:rFonts w:ascii="Times New Roman" w:eastAsia="Times New Roman" w:hAnsi="Times New Roman" w:cs="Times New Roman"/>
          <w:b/>
          <w:spacing w:val="-4"/>
          <w:kern w:val="0"/>
          <w:szCs w:val="22"/>
          <w14:ligatures w14:val="none"/>
        </w:rPr>
        <w:t xml:space="preserve"> </w:t>
      </w:r>
      <w:r w:rsidRPr="003A5C5C">
        <w:rPr>
          <w:rFonts w:ascii="Times New Roman" w:eastAsia="Times New Roman" w:hAnsi="Times New Roman" w:cs="Times New Roman"/>
          <w:b/>
          <w:kern w:val="0"/>
          <w:szCs w:val="22"/>
          <w14:ligatures w14:val="none"/>
        </w:rPr>
        <w:t>Nicel</w:t>
      </w:r>
      <w:r w:rsidRPr="003A5C5C">
        <w:rPr>
          <w:rFonts w:ascii="Times New Roman" w:eastAsia="Times New Roman" w:hAnsi="Times New Roman" w:cs="Times New Roman"/>
          <w:b/>
          <w:spacing w:val="-3"/>
          <w:kern w:val="0"/>
          <w:szCs w:val="22"/>
          <w14:ligatures w14:val="none"/>
        </w:rPr>
        <w:t xml:space="preserve"> </w:t>
      </w:r>
      <w:r w:rsidRPr="003A5C5C">
        <w:rPr>
          <w:rFonts w:ascii="Times New Roman" w:eastAsia="Times New Roman" w:hAnsi="Times New Roman" w:cs="Times New Roman"/>
          <w:b/>
          <w:spacing w:val="-2"/>
          <w:kern w:val="0"/>
          <w:szCs w:val="22"/>
          <w14:ligatures w14:val="none"/>
        </w:rPr>
        <w:t>Tayini</w:t>
      </w:r>
    </w:p>
    <w:p w14:paraId="6EAC3E39"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60DBFC14" w14:textId="77777777" w:rsidR="003A5C5C" w:rsidRPr="003A5C5C" w:rsidRDefault="003A5C5C" w:rsidP="003A5C5C">
      <w:pPr>
        <w:widowControl w:val="0"/>
        <w:autoSpaceDE w:val="0"/>
        <w:autoSpaceDN w:val="0"/>
        <w:spacing w:before="89" w:after="0" w:line="240" w:lineRule="auto"/>
        <w:rPr>
          <w:rFonts w:ascii="Times New Roman" w:eastAsia="Times New Roman" w:hAnsi="Times New Roman" w:cs="Times New Roman"/>
          <w:b/>
          <w:kern w:val="0"/>
          <w14:ligatures w14:val="none"/>
        </w:rPr>
      </w:pPr>
    </w:p>
    <w:p w14:paraId="72627057" w14:textId="77777777" w:rsidR="003A5C5C" w:rsidRPr="003A5C5C" w:rsidRDefault="003A5C5C" w:rsidP="003A5C5C">
      <w:pPr>
        <w:widowControl w:val="0"/>
        <w:autoSpaceDE w:val="0"/>
        <w:autoSpaceDN w:val="0"/>
        <w:spacing w:after="0" w:line="240" w:lineRule="auto"/>
        <w:ind w:left="424" w:right="5769"/>
        <w:rPr>
          <w:rFonts w:ascii="Times New Roman" w:eastAsia="Times New Roman" w:hAnsi="Times New Roman" w:cs="Times New Roman"/>
          <w:b/>
          <w:kern w:val="0"/>
          <w:szCs w:val="22"/>
          <w14:ligatures w14:val="none"/>
        </w:rPr>
      </w:pPr>
      <w:r w:rsidRPr="003A5C5C">
        <w:rPr>
          <w:rFonts w:ascii="Times New Roman" w:eastAsia="Times New Roman" w:hAnsi="Times New Roman" w:cs="Times New Roman"/>
          <w:b/>
          <w:kern w:val="0"/>
          <w:szCs w:val="22"/>
          <w14:ligatures w14:val="none"/>
        </w:rPr>
        <w:t>Öğrencinin</w:t>
      </w:r>
      <w:r w:rsidRPr="003A5C5C">
        <w:rPr>
          <w:rFonts w:ascii="Times New Roman" w:eastAsia="Times New Roman" w:hAnsi="Times New Roman" w:cs="Times New Roman"/>
          <w:b/>
          <w:spacing w:val="-11"/>
          <w:kern w:val="0"/>
          <w:szCs w:val="22"/>
          <w14:ligatures w14:val="none"/>
        </w:rPr>
        <w:t xml:space="preserve"> </w:t>
      </w:r>
      <w:r w:rsidRPr="003A5C5C">
        <w:rPr>
          <w:rFonts w:ascii="Times New Roman" w:eastAsia="Times New Roman" w:hAnsi="Times New Roman" w:cs="Times New Roman"/>
          <w:b/>
          <w:kern w:val="0"/>
          <w:szCs w:val="22"/>
          <w14:ligatures w14:val="none"/>
        </w:rPr>
        <w:t>Adı</w:t>
      </w:r>
      <w:r w:rsidRPr="003A5C5C">
        <w:rPr>
          <w:rFonts w:ascii="Times New Roman" w:eastAsia="Times New Roman" w:hAnsi="Times New Roman" w:cs="Times New Roman"/>
          <w:b/>
          <w:spacing w:val="-12"/>
          <w:kern w:val="0"/>
          <w:szCs w:val="22"/>
          <w14:ligatures w14:val="none"/>
        </w:rPr>
        <w:t xml:space="preserve"> </w:t>
      </w:r>
      <w:r w:rsidRPr="003A5C5C">
        <w:rPr>
          <w:rFonts w:ascii="Times New Roman" w:eastAsia="Times New Roman" w:hAnsi="Times New Roman" w:cs="Times New Roman"/>
          <w:b/>
          <w:kern w:val="0"/>
          <w:szCs w:val="22"/>
          <w14:ligatures w14:val="none"/>
        </w:rPr>
        <w:t>ve</w:t>
      </w:r>
      <w:r w:rsidRPr="003A5C5C">
        <w:rPr>
          <w:rFonts w:ascii="Times New Roman" w:eastAsia="Times New Roman" w:hAnsi="Times New Roman" w:cs="Times New Roman"/>
          <w:b/>
          <w:spacing w:val="-13"/>
          <w:kern w:val="0"/>
          <w:szCs w:val="22"/>
          <w14:ligatures w14:val="none"/>
        </w:rPr>
        <w:t xml:space="preserve"> </w:t>
      </w:r>
      <w:r w:rsidRPr="003A5C5C">
        <w:rPr>
          <w:rFonts w:ascii="Times New Roman" w:eastAsia="Times New Roman" w:hAnsi="Times New Roman" w:cs="Times New Roman"/>
          <w:b/>
          <w:kern w:val="0"/>
          <w:szCs w:val="22"/>
          <w14:ligatures w14:val="none"/>
        </w:rPr>
        <w:t xml:space="preserve">Soyadı: </w:t>
      </w:r>
      <w:r w:rsidRPr="003A5C5C">
        <w:rPr>
          <w:rFonts w:ascii="Times New Roman" w:eastAsia="Times New Roman" w:hAnsi="Times New Roman" w:cs="Times New Roman"/>
          <w:b/>
          <w:spacing w:val="-2"/>
          <w:kern w:val="0"/>
          <w:szCs w:val="22"/>
          <w14:ligatures w14:val="none"/>
        </w:rPr>
        <w:t>Numarası:</w:t>
      </w:r>
    </w:p>
    <w:p w14:paraId="457CBB15" w14:textId="77777777" w:rsidR="003A5C5C" w:rsidRPr="003A5C5C" w:rsidRDefault="003A5C5C" w:rsidP="003A5C5C">
      <w:pPr>
        <w:widowControl w:val="0"/>
        <w:autoSpaceDE w:val="0"/>
        <w:autoSpaceDN w:val="0"/>
        <w:spacing w:after="0" w:line="240" w:lineRule="auto"/>
        <w:ind w:left="424" w:right="7563"/>
        <w:rPr>
          <w:rFonts w:ascii="Times New Roman" w:eastAsia="Times New Roman" w:hAnsi="Times New Roman" w:cs="Times New Roman"/>
          <w:b/>
          <w:kern w:val="0"/>
          <w:szCs w:val="22"/>
          <w14:ligatures w14:val="none"/>
        </w:rPr>
      </w:pPr>
      <w:r w:rsidRPr="003A5C5C">
        <w:rPr>
          <w:rFonts w:ascii="Times New Roman" w:eastAsia="Times New Roman" w:hAnsi="Times New Roman" w:cs="Times New Roman"/>
          <w:b/>
          <w:kern w:val="0"/>
          <w:szCs w:val="22"/>
          <w14:ligatures w14:val="none"/>
        </w:rPr>
        <w:t>Lab.</w:t>
      </w:r>
      <w:r w:rsidRPr="003A5C5C">
        <w:rPr>
          <w:rFonts w:ascii="Times New Roman" w:eastAsia="Times New Roman" w:hAnsi="Times New Roman" w:cs="Times New Roman"/>
          <w:b/>
          <w:spacing w:val="-15"/>
          <w:kern w:val="0"/>
          <w:szCs w:val="22"/>
          <w14:ligatures w14:val="none"/>
        </w:rPr>
        <w:t xml:space="preserve"> </w:t>
      </w:r>
      <w:r w:rsidRPr="003A5C5C">
        <w:rPr>
          <w:rFonts w:ascii="Times New Roman" w:eastAsia="Times New Roman" w:hAnsi="Times New Roman" w:cs="Times New Roman"/>
          <w:b/>
          <w:kern w:val="0"/>
          <w:szCs w:val="22"/>
          <w14:ligatures w14:val="none"/>
        </w:rPr>
        <w:t>Grubu: Örnek No:</w:t>
      </w:r>
    </w:p>
    <w:p w14:paraId="5D21E9AC"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790E4B8A" w14:textId="77777777" w:rsidR="003A5C5C" w:rsidRPr="003A5C5C" w:rsidRDefault="003A5C5C" w:rsidP="003A5C5C">
      <w:pPr>
        <w:widowControl w:val="0"/>
        <w:autoSpaceDE w:val="0"/>
        <w:autoSpaceDN w:val="0"/>
        <w:spacing w:after="0" w:line="240" w:lineRule="auto"/>
        <w:ind w:left="424"/>
        <w:rPr>
          <w:rFonts w:ascii="Times New Roman" w:eastAsia="Times New Roman" w:hAnsi="Times New Roman" w:cs="Times New Roman"/>
          <w:b/>
          <w:kern w:val="0"/>
          <w:szCs w:val="22"/>
          <w14:ligatures w14:val="none"/>
        </w:rPr>
      </w:pPr>
      <w:r w:rsidRPr="003A5C5C">
        <w:rPr>
          <w:rFonts w:ascii="Times New Roman" w:eastAsia="Times New Roman" w:hAnsi="Times New Roman" w:cs="Times New Roman"/>
          <w:b/>
          <w:kern w:val="0"/>
          <w:szCs w:val="22"/>
          <w14:ligatures w14:val="none"/>
        </w:rPr>
        <w:t>Deneyin</w:t>
      </w:r>
      <w:r w:rsidRPr="003A5C5C">
        <w:rPr>
          <w:rFonts w:ascii="Times New Roman" w:eastAsia="Times New Roman" w:hAnsi="Times New Roman" w:cs="Times New Roman"/>
          <w:b/>
          <w:spacing w:val="-2"/>
          <w:kern w:val="0"/>
          <w:szCs w:val="22"/>
          <w14:ligatures w14:val="none"/>
        </w:rPr>
        <w:t xml:space="preserve"> Esası:</w:t>
      </w:r>
    </w:p>
    <w:p w14:paraId="3474E817"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03F8970C"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72C74EEB"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632B89FA"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1859185C" w14:textId="77777777" w:rsidR="003A5C5C" w:rsidRPr="003A5C5C" w:rsidRDefault="003A5C5C" w:rsidP="003A5C5C">
      <w:pPr>
        <w:widowControl w:val="0"/>
        <w:autoSpaceDE w:val="0"/>
        <w:autoSpaceDN w:val="0"/>
        <w:spacing w:before="1" w:after="0" w:line="240" w:lineRule="auto"/>
        <w:ind w:left="424"/>
        <w:rPr>
          <w:rFonts w:ascii="Times New Roman" w:eastAsia="Times New Roman" w:hAnsi="Times New Roman" w:cs="Times New Roman"/>
          <w:b/>
          <w:kern w:val="0"/>
          <w:szCs w:val="22"/>
          <w14:ligatures w14:val="none"/>
        </w:rPr>
      </w:pPr>
      <w:r w:rsidRPr="003A5C5C">
        <w:rPr>
          <w:rFonts w:ascii="Times New Roman" w:eastAsia="Times New Roman" w:hAnsi="Times New Roman" w:cs="Times New Roman"/>
          <w:b/>
          <w:kern w:val="0"/>
          <w:szCs w:val="22"/>
          <w14:ligatures w14:val="none"/>
        </w:rPr>
        <w:t>Tekniğin</w:t>
      </w:r>
      <w:r w:rsidRPr="003A5C5C">
        <w:rPr>
          <w:rFonts w:ascii="Times New Roman" w:eastAsia="Times New Roman" w:hAnsi="Times New Roman" w:cs="Times New Roman"/>
          <w:b/>
          <w:spacing w:val="-3"/>
          <w:kern w:val="0"/>
          <w:szCs w:val="22"/>
          <w14:ligatures w14:val="none"/>
        </w:rPr>
        <w:t xml:space="preserve"> </w:t>
      </w:r>
      <w:r w:rsidRPr="003A5C5C">
        <w:rPr>
          <w:rFonts w:ascii="Times New Roman" w:eastAsia="Times New Roman" w:hAnsi="Times New Roman" w:cs="Times New Roman"/>
          <w:b/>
          <w:spacing w:val="-2"/>
          <w:kern w:val="0"/>
          <w:szCs w:val="22"/>
          <w14:ligatures w14:val="none"/>
        </w:rPr>
        <w:t>Esası:</w:t>
      </w:r>
    </w:p>
    <w:p w14:paraId="2D08416A"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30C237A1"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25DCF734"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290445F5"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23FC8718"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29D77B50"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4AA26C80" w14:textId="77777777" w:rsidR="003A5C5C" w:rsidRPr="003A5C5C" w:rsidRDefault="003A5C5C" w:rsidP="003A5C5C">
      <w:pPr>
        <w:widowControl w:val="0"/>
        <w:autoSpaceDE w:val="0"/>
        <w:autoSpaceDN w:val="0"/>
        <w:spacing w:after="0" w:line="240" w:lineRule="auto"/>
        <w:ind w:left="424"/>
        <w:rPr>
          <w:rFonts w:ascii="Times New Roman" w:eastAsia="Times New Roman" w:hAnsi="Times New Roman" w:cs="Times New Roman"/>
          <w:b/>
          <w:kern w:val="0"/>
          <w:szCs w:val="22"/>
          <w14:ligatures w14:val="none"/>
        </w:rPr>
      </w:pPr>
      <w:r w:rsidRPr="003A5C5C">
        <w:rPr>
          <w:rFonts w:ascii="Times New Roman" w:eastAsia="Times New Roman" w:hAnsi="Times New Roman" w:cs="Times New Roman"/>
          <w:b/>
          <w:kern w:val="0"/>
          <w:szCs w:val="22"/>
          <w14:ligatures w14:val="none"/>
        </w:rPr>
        <w:t>Deneyin</w:t>
      </w:r>
      <w:r w:rsidRPr="003A5C5C">
        <w:rPr>
          <w:rFonts w:ascii="Times New Roman" w:eastAsia="Times New Roman" w:hAnsi="Times New Roman" w:cs="Times New Roman"/>
          <w:b/>
          <w:spacing w:val="-2"/>
          <w:kern w:val="0"/>
          <w:szCs w:val="22"/>
          <w14:ligatures w14:val="none"/>
        </w:rPr>
        <w:t xml:space="preserve"> Sonucu:</w:t>
      </w:r>
    </w:p>
    <w:p w14:paraId="54294C6E"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4F66014F"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174D1C60"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04465F34"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1ABEF694"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2B065772"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2D55756D"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4286953D"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4018194E"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778F9E7F" w14:textId="77777777" w:rsidR="003A5C5C" w:rsidRPr="003A5C5C" w:rsidRDefault="003A5C5C" w:rsidP="003A5C5C">
      <w:pPr>
        <w:widowControl w:val="0"/>
        <w:autoSpaceDE w:val="0"/>
        <w:autoSpaceDN w:val="0"/>
        <w:spacing w:after="0" w:line="240" w:lineRule="auto"/>
        <w:rPr>
          <w:rFonts w:ascii="Times New Roman" w:eastAsia="Times New Roman" w:hAnsi="Times New Roman" w:cs="Times New Roman"/>
          <w:b/>
          <w:kern w:val="0"/>
          <w14:ligatures w14:val="none"/>
        </w:rPr>
      </w:pPr>
    </w:p>
    <w:p w14:paraId="5BC0742F" w14:textId="77777777" w:rsidR="003A5C5C" w:rsidRPr="003A5C5C" w:rsidRDefault="003A5C5C" w:rsidP="003A5C5C">
      <w:pPr>
        <w:widowControl w:val="0"/>
        <w:autoSpaceDE w:val="0"/>
        <w:autoSpaceDN w:val="0"/>
        <w:spacing w:before="274" w:after="0" w:line="240" w:lineRule="auto"/>
        <w:rPr>
          <w:rFonts w:ascii="Times New Roman" w:eastAsia="Times New Roman" w:hAnsi="Times New Roman" w:cs="Times New Roman"/>
          <w:b/>
          <w:kern w:val="0"/>
          <w14:ligatures w14:val="none"/>
        </w:rPr>
      </w:pPr>
    </w:p>
    <w:p w14:paraId="01360745" w14:textId="77777777" w:rsidR="003A5C5C" w:rsidRPr="003A5C5C" w:rsidRDefault="003A5C5C" w:rsidP="003A5C5C">
      <w:pPr>
        <w:widowControl w:val="0"/>
        <w:autoSpaceDE w:val="0"/>
        <w:autoSpaceDN w:val="0"/>
        <w:spacing w:after="0" w:line="240" w:lineRule="auto"/>
        <w:ind w:left="424"/>
        <w:rPr>
          <w:rFonts w:ascii="Times New Roman" w:eastAsia="Times New Roman" w:hAnsi="Times New Roman" w:cs="Times New Roman"/>
          <w:b/>
          <w:kern w:val="0"/>
          <w:szCs w:val="22"/>
          <w14:ligatures w14:val="none"/>
        </w:rPr>
      </w:pPr>
      <w:r w:rsidRPr="003A5C5C">
        <w:rPr>
          <w:rFonts w:ascii="Times New Roman" w:eastAsia="Times New Roman" w:hAnsi="Times New Roman" w:cs="Times New Roman"/>
          <w:b/>
          <w:spacing w:val="-2"/>
          <w:kern w:val="0"/>
          <w:szCs w:val="22"/>
          <w14:ligatures w14:val="none"/>
        </w:rPr>
        <w:t>Yorum:</w:t>
      </w:r>
    </w:p>
    <w:p w14:paraId="774F8495" w14:textId="77777777" w:rsidR="003A5C5C" w:rsidRDefault="003A5C5C" w:rsidP="003D2971">
      <w:pPr>
        <w:rPr>
          <w:rFonts w:ascii="Times New Roman" w:hAnsi="Times New Roman" w:cs="Times New Roman"/>
        </w:rPr>
      </w:pPr>
    </w:p>
    <w:p w14:paraId="12DC7B8B" w14:textId="77777777" w:rsidR="003A5C5C" w:rsidRDefault="003A5C5C" w:rsidP="003D2971">
      <w:pPr>
        <w:rPr>
          <w:rFonts w:ascii="Times New Roman" w:hAnsi="Times New Roman" w:cs="Times New Roman"/>
        </w:rPr>
      </w:pPr>
    </w:p>
    <w:p w14:paraId="29C44646" w14:textId="77777777" w:rsidR="003A5C5C" w:rsidRDefault="003A5C5C" w:rsidP="003D2971">
      <w:pPr>
        <w:rPr>
          <w:rFonts w:ascii="Times New Roman" w:hAnsi="Times New Roman" w:cs="Times New Roman"/>
        </w:rPr>
      </w:pPr>
    </w:p>
    <w:p w14:paraId="527365B5" w14:textId="77777777" w:rsidR="003A5C5C" w:rsidRDefault="003A5C5C" w:rsidP="003D2971">
      <w:pPr>
        <w:rPr>
          <w:rFonts w:ascii="Times New Roman" w:hAnsi="Times New Roman" w:cs="Times New Roman"/>
        </w:rPr>
      </w:pPr>
    </w:p>
    <w:p w14:paraId="33BB7902" w14:textId="77777777" w:rsidR="003A5C5C" w:rsidRDefault="003A5C5C" w:rsidP="003D2971">
      <w:pPr>
        <w:rPr>
          <w:rFonts w:ascii="Times New Roman" w:hAnsi="Times New Roman" w:cs="Times New Roman"/>
        </w:rPr>
      </w:pPr>
    </w:p>
    <w:p w14:paraId="2F2E65B2" w14:textId="77777777" w:rsidR="003A5C5C" w:rsidRDefault="003A5C5C" w:rsidP="003D2971">
      <w:pPr>
        <w:rPr>
          <w:rFonts w:ascii="Times New Roman" w:hAnsi="Times New Roman" w:cs="Times New Roman"/>
        </w:rPr>
      </w:pPr>
    </w:p>
    <w:p w14:paraId="7AF6FD35" w14:textId="77777777" w:rsidR="003A5C5C" w:rsidRDefault="003A5C5C" w:rsidP="003D2971">
      <w:pPr>
        <w:rPr>
          <w:rFonts w:ascii="Times New Roman" w:hAnsi="Times New Roman" w:cs="Times New Roman"/>
        </w:rPr>
      </w:pPr>
    </w:p>
    <w:p w14:paraId="3872E365" w14:textId="1F584FCB" w:rsidR="003A5C5C" w:rsidRDefault="003A5C5C" w:rsidP="003D2971">
      <w:pPr>
        <w:rPr>
          <w:rFonts w:ascii="Times New Roman" w:hAnsi="Times New Roman" w:cs="Times New Roman"/>
          <w:b/>
          <w:bCs/>
        </w:rPr>
      </w:pPr>
      <w:r>
        <w:rPr>
          <w:rFonts w:ascii="Times New Roman" w:hAnsi="Times New Roman" w:cs="Times New Roman"/>
          <w:b/>
          <w:bCs/>
        </w:rPr>
        <w:lastRenderedPageBreak/>
        <w:t>NOTLAR:</w:t>
      </w:r>
    </w:p>
    <w:p w14:paraId="1B28E978" w14:textId="77777777" w:rsidR="003A5C5C" w:rsidRDefault="003A5C5C">
      <w:pPr>
        <w:rPr>
          <w:rFonts w:ascii="Times New Roman" w:hAnsi="Times New Roman" w:cs="Times New Roman"/>
          <w:b/>
          <w:bCs/>
        </w:rPr>
      </w:pPr>
      <w:r>
        <w:rPr>
          <w:rFonts w:ascii="Times New Roman" w:hAnsi="Times New Roman" w:cs="Times New Roman"/>
          <w:b/>
          <w:bCs/>
        </w:rPr>
        <w:br w:type="page"/>
      </w:r>
    </w:p>
    <w:p w14:paraId="65C27520" w14:textId="77777777" w:rsidR="003A5C5C" w:rsidRDefault="003A5C5C" w:rsidP="003D2971">
      <w:pPr>
        <w:rPr>
          <w:rFonts w:ascii="Times New Roman" w:hAnsi="Times New Roman" w:cs="Times New Roman"/>
          <w:b/>
          <w:bCs/>
        </w:rPr>
      </w:pPr>
    </w:p>
    <w:p w14:paraId="5347B00B" w14:textId="77777777" w:rsidR="003A5C5C" w:rsidRDefault="003A5C5C">
      <w:pPr>
        <w:rPr>
          <w:rFonts w:ascii="Times New Roman" w:hAnsi="Times New Roman" w:cs="Times New Roman"/>
          <w:b/>
          <w:bCs/>
        </w:rPr>
      </w:pPr>
      <w:r>
        <w:rPr>
          <w:rFonts w:ascii="Times New Roman" w:hAnsi="Times New Roman" w:cs="Times New Roman"/>
          <w:b/>
          <w:bCs/>
        </w:rPr>
        <w:br w:type="page"/>
      </w:r>
    </w:p>
    <w:p w14:paraId="38AC1D96" w14:textId="77777777" w:rsidR="003A5C5C" w:rsidRDefault="003A5C5C" w:rsidP="003D2971">
      <w:pPr>
        <w:rPr>
          <w:rFonts w:ascii="Times New Roman" w:hAnsi="Times New Roman" w:cs="Times New Roman"/>
          <w:b/>
          <w:bCs/>
        </w:rPr>
      </w:pPr>
    </w:p>
    <w:p w14:paraId="6549D018" w14:textId="77777777" w:rsidR="003A5C5C" w:rsidRDefault="003A5C5C">
      <w:pPr>
        <w:rPr>
          <w:rFonts w:ascii="Times New Roman" w:hAnsi="Times New Roman" w:cs="Times New Roman"/>
          <w:b/>
          <w:bCs/>
        </w:rPr>
      </w:pPr>
      <w:r>
        <w:rPr>
          <w:rFonts w:ascii="Times New Roman" w:hAnsi="Times New Roman" w:cs="Times New Roman"/>
          <w:b/>
          <w:bCs/>
        </w:rPr>
        <w:br w:type="page"/>
      </w:r>
    </w:p>
    <w:p w14:paraId="1B9F3F2B" w14:textId="77777777" w:rsidR="003A5C5C" w:rsidRDefault="003A5C5C" w:rsidP="003D2971">
      <w:pPr>
        <w:rPr>
          <w:rFonts w:ascii="Times New Roman" w:hAnsi="Times New Roman" w:cs="Times New Roman"/>
          <w:b/>
          <w:bCs/>
        </w:rPr>
      </w:pPr>
    </w:p>
    <w:p w14:paraId="0D8C9C0C" w14:textId="77777777" w:rsidR="003A5C5C" w:rsidRDefault="003A5C5C">
      <w:pPr>
        <w:rPr>
          <w:rFonts w:ascii="Times New Roman" w:hAnsi="Times New Roman" w:cs="Times New Roman"/>
          <w:b/>
          <w:bCs/>
        </w:rPr>
      </w:pPr>
      <w:r>
        <w:rPr>
          <w:rFonts w:ascii="Times New Roman" w:hAnsi="Times New Roman" w:cs="Times New Roman"/>
          <w:b/>
          <w:bCs/>
        </w:rPr>
        <w:br w:type="page"/>
      </w:r>
    </w:p>
    <w:p w14:paraId="6DAC791A" w14:textId="77777777" w:rsidR="003A5C5C" w:rsidRDefault="003A5C5C" w:rsidP="003D2971">
      <w:pPr>
        <w:rPr>
          <w:rFonts w:ascii="Times New Roman" w:hAnsi="Times New Roman" w:cs="Times New Roman"/>
          <w:b/>
          <w:bCs/>
        </w:rPr>
      </w:pPr>
    </w:p>
    <w:p w14:paraId="26BCD575" w14:textId="77777777" w:rsidR="003A5C5C" w:rsidRDefault="003A5C5C">
      <w:pPr>
        <w:rPr>
          <w:rFonts w:ascii="Times New Roman" w:hAnsi="Times New Roman" w:cs="Times New Roman"/>
          <w:b/>
          <w:bCs/>
        </w:rPr>
      </w:pPr>
      <w:r>
        <w:rPr>
          <w:rFonts w:ascii="Times New Roman" w:hAnsi="Times New Roman" w:cs="Times New Roman"/>
          <w:b/>
          <w:bCs/>
        </w:rPr>
        <w:br w:type="page"/>
      </w:r>
    </w:p>
    <w:p w14:paraId="63CD6F36" w14:textId="3555A4D9" w:rsidR="003A5C5C" w:rsidRPr="003A5C5C" w:rsidRDefault="003A5C5C" w:rsidP="003D2971">
      <w:pPr>
        <w:rPr>
          <w:rFonts w:ascii="Times New Roman" w:hAnsi="Times New Roman" w:cs="Times New Roman"/>
          <w:b/>
          <w:bCs/>
        </w:rPr>
      </w:pPr>
    </w:p>
    <w:p w14:paraId="69682403" w14:textId="77777777" w:rsidR="003A5C5C" w:rsidRDefault="003A5C5C" w:rsidP="003D2971">
      <w:pPr>
        <w:rPr>
          <w:rFonts w:ascii="Times New Roman" w:hAnsi="Times New Roman" w:cs="Times New Roman"/>
        </w:rPr>
      </w:pPr>
    </w:p>
    <w:p w14:paraId="6F371BFC" w14:textId="77777777" w:rsidR="003A5C5C" w:rsidRDefault="003A5C5C" w:rsidP="003D2971">
      <w:pPr>
        <w:rPr>
          <w:rFonts w:ascii="Times New Roman" w:hAnsi="Times New Roman" w:cs="Times New Roman"/>
        </w:rPr>
      </w:pPr>
    </w:p>
    <w:p w14:paraId="2A1074E6" w14:textId="77777777" w:rsidR="003A5C5C" w:rsidRDefault="003A5C5C" w:rsidP="003D2971">
      <w:pPr>
        <w:rPr>
          <w:rFonts w:ascii="Times New Roman" w:hAnsi="Times New Roman" w:cs="Times New Roman"/>
        </w:rPr>
      </w:pPr>
    </w:p>
    <w:p w14:paraId="35C284D4" w14:textId="77777777" w:rsidR="003A5C5C" w:rsidRDefault="003A5C5C" w:rsidP="003D2971">
      <w:pPr>
        <w:rPr>
          <w:rFonts w:ascii="Times New Roman" w:hAnsi="Times New Roman" w:cs="Times New Roman"/>
        </w:rPr>
      </w:pPr>
    </w:p>
    <w:p w14:paraId="63A37428" w14:textId="77777777" w:rsidR="003A5C5C" w:rsidRDefault="003A5C5C" w:rsidP="003D2971">
      <w:pPr>
        <w:rPr>
          <w:rFonts w:ascii="Times New Roman" w:hAnsi="Times New Roman" w:cs="Times New Roman"/>
        </w:rPr>
      </w:pPr>
    </w:p>
    <w:p w14:paraId="32D7FBD9" w14:textId="77777777" w:rsidR="003A5C5C" w:rsidRDefault="003A5C5C" w:rsidP="003D2971">
      <w:pPr>
        <w:rPr>
          <w:rFonts w:ascii="Times New Roman" w:hAnsi="Times New Roman" w:cs="Times New Roman"/>
        </w:rPr>
      </w:pPr>
    </w:p>
    <w:p w14:paraId="5BA10F58" w14:textId="77777777" w:rsidR="003A5C5C" w:rsidRDefault="003A5C5C" w:rsidP="003D2971">
      <w:pPr>
        <w:rPr>
          <w:rFonts w:ascii="Times New Roman" w:hAnsi="Times New Roman" w:cs="Times New Roman"/>
        </w:rPr>
      </w:pPr>
    </w:p>
    <w:p w14:paraId="5E47C2CC" w14:textId="77777777" w:rsidR="003A5C5C" w:rsidRDefault="003A5C5C" w:rsidP="003D2971">
      <w:pPr>
        <w:rPr>
          <w:rFonts w:ascii="Times New Roman" w:hAnsi="Times New Roman" w:cs="Times New Roman"/>
        </w:rPr>
      </w:pPr>
    </w:p>
    <w:p w14:paraId="2C6A15EE" w14:textId="77777777" w:rsidR="003A5C5C" w:rsidRDefault="003A5C5C" w:rsidP="003D2971">
      <w:pPr>
        <w:rPr>
          <w:rFonts w:ascii="Times New Roman" w:hAnsi="Times New Roman" w:cs="Times New Roman"/>
        </w:rPr>
      </w:pPr>
    </w:p>
    <w:p w14:paraId="0A586C72" w14:textId="77777777" w:rsidR="003A5C5C" w:rsidRDefault="003A5C5C" w:rsidP="003D2971">
      <w:pPr>
        <w:rPr>
          <w:rFonts w:ascii="Times New Roman" w:hAnsi="Times New Roman" w:cs="Times New Roman"/>
        </w:rPr>
      </w:pPr>
    </w:p>
    <w:p w14:paraId="5C2FAC9E" w14:textId="77777777" w:rsidR="003A5C5C" w:rsidRDefault="003A5C5C" w:rsidP="003D2971">
      <w:pPr>
        <w:rPr>
          <w:rFonts w:ascii="Times New Roman" w:hAnsi="Times New Roman" w:cs="Times New Roman"/>
        </w:rPr>
      </w:pPr>
    </w:p>
    <w:p w14:paraId="4F35DA23" w14:textId="77777777" w:rsidR="003A5C5C" w:rsidRDefault="003A5C5C" w:rsidP="003D2971">
      <w:pPr>
        <w:rPr>
          <w:rFonts w:ascii="Times New Roman" w:hAnsi="Times New Roman" w:cs="Times New Roman"/>
        </w:rPr>
      </w:pPr>
    </w:p>
    <w:p w14:paraId="38CCC347" w14:textId="77777777" w:rsidR="003A5C5C" w:rsidRDefault="003A5C5C" w:rsidP="003D2971">
      <w:pPr>
        <w:rPr>
          <w:rFonts w:ascii="Times New Roman" w:hAnsi="Times New Roman" w:cs="Times New Roman"/>
        </w:rPr>
      </w:pPr>
    </w:p>
    <w:p w14:paraId="2EF233CE" w14:textId="77777777" w:rsidR="003A5C5C" w:rsidRPr="003D2971" w:rsidRDefault="003A5C5C" w:rsidP="003D2971">
      <w:pPr>
        <w:rPr>
          <w:rFonts w:ascii="Times New Roman" w:hAnsi="Times New Roman" w:cs="Times New Roman"/>
        </w:rPr>
      </w:pPr>
    </w:p>
    <w:sectPr w:rsidR="003A5C5C" w:rsidRPr="003D29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279B" w14:textId="77777777" w:rsidR="004C3DC3" w:rsidRDefault="004C3DC3" w:rsidP="004C3DC3">
      <w:pPr>
        <w:spacing w:after="0" w:line="240" w:lineRule="auto"/>
      </w:pPr>
      <w:r>
        <w:separator/>
      </w:r>
    </w:p>
  </w:endnote>
  <w:endnote w:type="continuationSeparator" w:id="0">
    <w:p w14:paraId="2224BC49" w14:textId="77777777" w:rsidR="004C3DC3" w:rsidRDefault="004C3DC3" w:rsidP="004C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B196" w14:textId="77777777" w:rsidR="004C3DC3" w:rsidRDefault="004C3DC3" w:rsidP="004C3DC3">
      <w:pPr>
        <w:spacing w:after="0" w:line="240" w:lineRule="auto"/>
      </w:pPr>
      <w:r>
        <w:separator/>
      </w:r>
    </w:p>
  </w:footnote>
  <w:footnote w:type="continuationSeparator" w:id="0">
    <w:p w14:paraId="1AD73033" w14:textId="77777777" w:rsidR="004C3DC3" w:rsidRDefault="004C3DC3" w:rsidP="004C3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87E"/>
    <w:multiLevelType w:val="hybridMultilevel"/>
    <w:tmpl w:val="D73479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AC32B5"/>
    <w:multiLevelType w:val="hybridMultilevel"/>
    <w:tmpl w:val="1A9C3C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2B0E4C"/>
    <w:multiLevelType w:val="hybridMultilevel"/>
    <w:tmpl w:val="695EC8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1101D8"/>
    <w:multiLevelType w:val="hybridMultilevel"/>
    <w:tmpl w:val="E37250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A36E1F"/>
    <w:multiLevelType w:val="hybridMultilevel"/>
    <w:tmpl w:val="D92648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CE74AF"/>
    <w:multiLevelType w:val="hybridMultilevel"/>
    <w:tmpl w:val="81F8759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4817D5"/>
    <w:multiLevelType w:val="multilevel"/>
    <w:tmpl w:val="E3D4E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52D8F"/>
    <w:multiLevelType w:val="hybridMultilevel"/>
    <w:tmpl w:val="082020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1260E0"/>
    <w:multiLevelType w:val="hybridMultilevel"/>
    <w:tmpl w:val="837232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1B54D7B"/>
    <w:multiLevelType w:val="hybridMultilevel"/>
    <w:tmpl w:val="5816D6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E462FA"/>
    <w:multiLevelType w:val="hybridMultilevel"/>
    <w:tmpl w:val="997CCC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3FB0935"/>
    <w:multiLevelType w:val="hybridMultilevel"/>
    <w:tmpl w:val="C43814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3F30A0"/>
    <w:multiLevelType w:val="hybridMultilevel"/>
    <w:tmpl w:val="2CA4D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4D4670A"/>
    <w:multiLevelType w:val="hybridMultilevel"/>
    <w:tmpl w:val="4A82A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78532D4"/>
    <w:multiLevelType w:val="hybridMultilevel"/>
    <w:tmpl w:val="610686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8C2B8C"/>
    <w:multiLevelType w:val="hybridMultilevel"/>
    <w:tmpl w:val="BB2ABF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0292B59"/>
    <w:multiLevelType w:val="hybridMultilevel"/>
    <w:tmpl w:val="515002D8"/>
    <w:lvl w:ilvl="0" w:tplc="CE8ED3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131424E"/>
    <w:multiLevelType w:val="hybridMultilevel"/>
    <w:tmpl w:val="E5A819A2"/>
    <w:lvl w:ilvl="0" w:tplc="AD46DE40">
      <w:start w:val="1"/>
      <w:numFmt w:val="upperRoman"/>
      <w:lvlText w:val="%1."/>
      <w:lvlJc w:val="left"/>
      <w:pPr>
        <w:ind w:left="1144" w:hanging="320"/>
        <w:jc w:val="right"/>
      </w:pPr>
      <w:rPr>
        <w:rFonts w:ascii="Times New Roman" w:eastAsia="Times New Roman" w:hAnsi="Times New Roman" w:cs="Times New Roman" w:hint="default"/>
        <w:b w:val="0"/>
        <w:bCs w:val="0"/>
        <w:i w:val="0"/>
        <w:iCs w:val="0"/>
        <w:spacing w:val="-4"/>
        <w:w w:val="100"/>
        <w:sz w:val="24"/>
        <w:szCs w:val="24"/>
        <w:lang w:val="tr-TR" w:eastAsia="en-US" w:bidi="ar-SA"/>
      </w:rPr>
    </w:lvl>
    <w:lvl w:ilvl="1" w:tplc="BDAC248A">
      <w:start w:val="1"/>
      <w:numFmt w:val="decimal"/>
      <w:lvlText w:val="%2."/>
      <w:lvlJc w:val="left"/>
      <w:pPr>
        <w:ind w:left="1132" w:hanging="348"/>
      </w:pPr>
      <w:rPr>
        <w:rFonts w:ascii="Times New Roman" w:eastAsia="Times New Roman" w:hAnsi="Times New Roman" w:cs="Times New Roman" w:hint="default"/>
        <w:b w:val="0"/>
        <w:bCs w:val="0"/>
        <w:i w:val="0"/>
        <w:iCs w:val="0"/>
        <w:spacing w:val="0"/>
        <w:w w:val="100"/>
        <w:sz w:val="24"/>
        <w:szCs w:val="24"/>
        <w:lang w:val="tr-TR" w:eastAsia="en-US" w:bidi="ar-SA"/>
      </w:rPr>
    </w:lvl>
    <w:lvl w:ilvl="2" w:tplc="4DAE69F4">
      <w:numFmt w:val="bullet"/>
      <w:lvlText w:val="•"/>
      <w:lvlJc w:val="left"/>
      <w:pPr>
        <w:ind w:left="2896" w:hanging="348"/>
      </w:pPr>
      <w:rPr>
        <w:rFonts w:hint="default"/>
        <w:lang w:val="tr-TR" w:eastAsia="en-US" w:bidi="ar-SA"/>
      </w:rPr>
    </w:lvl>
    <w:lvl w:ilvl="3" w:tplc="56043598">
      <w:numFmt w:val="bullet"/>
      <w:lvlText w:val="•"/>
      <w:lvlJc w:val="left"/>
      <w:pPr>
        <w:ind w:left="3774" w:hanging="348"/>
      </w:pPr>
      <w:rPr>
        <w:rFonts w:hint="default"/>
        <w:lang w:val="tr-TR" w:eastAsia="en-US" w:bidi="ar-SA"/>
      </w:rPr>
    </w:lvl>
    <w:lvl w:ilvl="4" w:tplc="6E1A3CA8">
      <w:numFmt w:val="bullet"/>
      <w:lvlText w:val="•"/>
      <w:lvlJc w:val="left"/>
      <w:pPr>
        <w:ind w:left="4652" w:hanging="348"/>
      </w:pPr>
      <w:rPr>
        <w:rFonts w:hint="default"/>
        <w:lang w:val="tr-TR" w:eastAsia="en-US" w:bidi="ar-SA"/>
      </w:rPr>
    </w:lvl>
    <w:lvl w:ilvl="5" w:tplc="6EDC54E6">
      <w:numFmt w:val="bullet"/>
      <w:lvlText w:val="•"/>
      <w:lvlJc w:val="left"/>
      <w:pPr>
        <w:ind w:left="5531" w:hanging="348"/>
      </w:pPr>
      <w:rPr>
        <w:rFonts w:hint="default"/>
        <w:lang w:val="tr-TR" w:eastAsia="en-US" w:bidi="ar-SA"/>
      </w:rPr>
    </w:lvl>
    <w:lvl w:ilvl="6" w:tplc="66F07B8A">
      <w:numFmt w:val="bullet"/>
      <w:lvlText w:val="•"/>
      <w:lvlJc w:val="left"/>
      <w:pPr>
        <w:ind w:left="6409" w:hanging="348"/>
      </w:pPr>
      <w:rPr>
        <w:rFonts w:hint="default"/>
        <w:lang w:val="tr-TR" w:eastAsia="en-US" w:bidi="ar-SA"/>
      </w:rPr>
    </w:lvl>
    <w:lvl w:ilvl="7" w:tplc="CD1A18EC">
      <w:numFmt w:val="bullet"/>
      <w:lvlText w:val="•"/>
      <w:lvlJc w:val="left"/>
      <w:pPr>
        <w:ind w:left="7287" w:hanging="348"/>
      </w:pPr>
      <w:rPr>
        <w:rFonts w:hint="default"/>
        <w:lang w:val="tr-TR" w:eastAsia="en-US" w:bidi="ar-SA"/>
      </w:rPr>
    </w:lvl>
    <w:lvl w:ilvl="8" w:tplc="8A2E722E">
      <w:numFmt w:val="bullet"/>
      <w:lvlText w:val="•"/>
      <w:lvlJc w:val="left"/>
      <w:pPr>
        <w:ind w:left="8165" w:hanging="348"/>
      </w:pPr>
      <w:rPr>
        <w:rFonts w:hint="default"/>
        <w:lang w:val="tr-TR" w:eastAsia="en-US" w:bidi="ar-SA"/>
      </w:rPr>
    </w:lvl>
  </w:abstractNum>
  <w:abstractNum w:abstractNumId="18" w15:restartNumberingAfterBreak="0">
    <w:nsid w:val="73B40AAC"/>
    <w:multiLevelType w:val="hybridMultilevel"/>
    <w:tmpl w:val="2EE6AD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6514AB"/>
    <w:multiLevelType w:val="hybridMultilevel"/>
    <w:tmpl w:val="1750A1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9D0870"/>
    <w:multiLevelType w:val="hybridMultilevel"/>
    <w:tmpl w:val="DF3EEC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68A4CE3"/>
    <w:multiLevelType w:val="hybridMultilevel"/>
    <w:tmpl w:val="A976B7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A1056E"/>
    <w:multiLevelType w:val="hybridMultilevel"/>
    <w:tmpl w:val="0CBC07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DEC2350"/>
    <w:multiLevelType w:val="hybridMultilevel"/>
    <w:tmpl w:val="E31098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EF12DF6"/>
    <w:multiLevelType w:val="hybridMultilevel"/>
    <w:tmpl w:val="D7045B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192D64"/>
    <w:multiLevelType w:val="hybridMultilevel"/>
    <w:tmpl w:val="382EBDD4"/>
    <w:lvl w:ilvl="0" w:tplc="DF8ED86C">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1305095">
    <w:abstractNumId w:val="15"/>
  </w:num>
  <w:num w:numId="2" w16cid:durableId="135345221">
    <w:abstractNumId w:val="23"/>
  </w:num>
  <w:num w:numId="3" w16cid:durableId="759956309">
    <w:abstractNumId w:val="1"/>
  </w:num>
  <w:num w:numId="4" w16cid:durableId="30113539">
    <w:abstractNumId w:val="19"/>
  </w:num>
  <w:num w:numId="5" w16cid:durableId="1834249666">
    <w:abstractNumId w:val="2"/>
  </w:num>
  <w:num w:numId="6" w16cid:durableId="1441149155">
    <w:abstractNumId w:val="10"/>
  </w:num>
  <w:num w:numId="7" w16cid:durableId="79257265">
    <w:abstractNumId w:val="16"/>
  </w:num>
  <w:num w:numId="8" w16cid:durableId="1042092522">
    <w:abstractNumId w:val="0"/>
  </w:num>
  <w:num w:numId="9" w16cid:durableId="1461679708">
    <w:abstractNumId w:val="18"/>
  </w:num>
  <w:num w:numId="10" w16cid:durableId="1743135522">
    <w:abstractNumId w:val="5"/>
  </w:num>
  <w:num w:numId="11" w16cid:durableId="1809787776">
    <w:abstractNumId w:val="6"/>
  </w:num>
  <w:num w:numId="12" w16cid:durableId="266429876">
    <w:abstractNumId w:val="3"/>
  </w:num>
  <w:num w:numId="13" w16cid:durableId="1246768003">
    <w:abstractNumId w:val="4"/>
  </w:num>
  <w:num w:numId="14" w16cid:durableId="751463747">
    <w:abstractNumId w:val="17"/>
  </w:num>
  <w:num w:numId="15" w16cid:durableId="579563641">
    <w:abstractNumId w:val="7"/>
  </w:num>
  <w:num w:numId="16" w16cid:durableId="1728147590">
    <w:abstractNumId w:val="9"/>
  </w:num>
  <w:num w:numId="17" w16cid:durableId="1545630092">
    <w:abstractNumId w:val="12"/>
  </w:num>
  <w:num w:numId="18" w16cid:durableId="1083527790">
    <w:abstractNumId w:val="22"/>
  </w:num>
  <w:num w:numId="19" w16cid:durableId="563024936">
    <w:abstractNumId w:val="21"/>
  </w:num>
  <w:num w:numId="20" w16cid:durableId="1965650931">
    <w:abstractNumId w:val="25"/>
  </w:num>
  <w:num w:numId="21" w16cid:durableId="917786418">
    <w:abstractNumId w:val="13"/>
  </w:num>
  <w:num w:numId="22" w16cid:durableId="1180466127">
    <w:abstractNumId w:val="24"/>
  </w:num>
  <w:num w:numId="23" w16cid:durableId="1863664737">
    <w:abstractNumId w:val="20"/>
  </w:num>
  <w:num w:numId="24" w16cid:durableId="105079779">
    <w:abstractNumId w:val="11"/>
  </w:num>
  <w:num w:numId="25" w16cid:durableId="195701818">
    <w:abstractNumId w:val="14"/>
  </w:num>
  <w:num w:numId="26" w16cid:durableId="2032611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E1"/>
    <w:rsid w:val="000024C9"/>
    <w:rsid w:val="00002B43"/>
    <w:rsid w:val="00042852"/>
    <w:rsid w:val="00075A17"/>
    <w:rsid w:val="0008114C"/>
    <w:rsid w:val="00082AC8"/>
    <w:rsid w:val="000853E3"/>
    <w:rsid w:val="000C4342"/>
    <w:rsid w:val="000D5344"/>
    <w:rsid w:val="000F0C47"/>
    <w:rsid w:val="00103588"/>
    <w:rsid w:val="00120089"/>
    <w:rsid w:val="0013170D"/>
    <w:rsid w:val="00140F49"/>
    <w:rsid w:val="00165795"/>
    <w:rsid w:val="001663F2"/>
    <w:rsid w:val="001C4F73"/>
    <w:rsid w:val="001C4FE3"/>
    <w:rsid w:val="001D3F90"/>
    <w:rsid w:val="0022500F"/>
    <w:rsid w:val="0022536E"/>
    <w:rsid w:val="00226AB5"/>
    <w:rsid w:val="00236AF4"/>
    <w:rsid w:val="00243B50"/>
    <w:rsid w:val="00246C1A"/>
    <w:rsid w:val="00250898"/>
    <w:rsid w:val="00253FBE"/>
    <w:rsid w:val="00267278"/>
    <w:rsid w:val="002A7CC4"/>
    <w:rsid w:val="002B2862"/>
    <w:rsid w:val="002B2DC9"/>
    <w:rsid w:val="002C1627"/>
    <w:rsid w:val="002F6777"/>
    <w:rsid w:val="003067BF"/>
    <w:rsid w:val="00320D0C"/>
    <w:rsid w:val="003443B2"/>
    <w:rsid w:val="00373639"/>
    <w:rsid w:val="003813C2"/>
    <w:rsid w:val="00384A9C"/>
    <w:rsid w:val="00395408"/>
    <w:rsid w:val="003A45C8"/>
    <w:rsid w:val="003A5C5C"/>
    <w:rsid w:val="003B534D"/>
    <w:rsid w:val="003B6449"/>
    <w:rsid w:val="003D2971"/>
    <w:rsid w:val="003D7DA9"/>
    <w:rsid w:val="003E42A8"/>
    <w:rsid w:val="004011DE"/>
    <w:rsid w:val="00407741"/>
    <w:rsid w:val="004215CE"/>
    <w:rsid w:val="00424834"/>
    <w:rsid w:val="00427263"/>
    <w:rsid w:val="00437187"/>
    <w:rsid w:val="00455281"/>
    <w:rsid w:val="00460DEC"/>
    <w:rsid w:val="00475E8B"/>
    <w:rsid w:val="004771C2"/>
    <w:rsid w:val="00486B13"/>
    <w:rsid w:val="00487311"/>
    <w:rsid w:val="00492BFB"/>
    <w:rsid w:val="004A20F4"/>
    <w:rsid w:val="004B283D"/>
    <w:rsid w:val="004C3DC3"/>
    <w:rsid w:val="004F428C"/>
    <w:rsid w:val="004F65C6"/>
    <w:rsid w:val="004F70A2"/>
    <w:rsid w:val="00504D46"/>
    <w:rsid w:val="005063F2"/>
    <w:rsid w:val="00530C47"/>
    <w:rsid w:val="00574796"/>
    <w:rsid w:val="0057669E"/>
    <w:rsid w:val="00585A78"/>
    <w:rsid w:val="005D636B"/>
    <w:rsid w:val="005E273D"/>
    <w:rsid w:val="0063723C"/>
    <w:rsid w:val="006878DF"/>
    <w:rsid w:val="00692636"/>
    <w:rsid w:val="00694B41"/>
    <w:rsid w:val="006A1814"/>
    <w:rsid w:val="006A1B32"/>
    <w:rsid w:val="006B6417"/>
    <w:rsid w:val="0070787B"/>
    <w:rsid w:val="007105EA"/>
    <w:rsid w:val="007140CA"/>
    <w:rsid w:val="007B1850"/>
    <w:rsid w:val="007E4075"/>
    <w:rsid w:val="007E5451"/>
    <w:rsid w:val="00802DF9"/>
    <w:rsid w:val="00803DAB"/>
    <w:rsid w:val="00832DC3"/>
    <w:rsid w:val="00844447"/>
    <w:rsid w:val="00880647"/>
    <w:rsid w:val="008A1F44"/>
    <w:rsid w:val="008B530B"/>
    <w:rsid w:val="008C5B55"/>
    <w:rsid w:val="008E5E9B"/>
    <w:rsid w:val="008E5FBD"/>
    <w:rsid w:val="00901AC1"/>
    <w:rsid w:val="00924093"/>
    <w:rsid w:val="00930B84"/>
    <w:rsid w:val="009B2BED"/>
    <w:rsid w:val="009B2F73"/>
    <w:rsid w:val="009D0D18"/>
    <w:rsid w:val="009D207C"/>
    <w:rsid w:val="009D64B5"/>
    <w:rsid w:val="00A531E1"/>
    <w:rsid w:val="00A60E23"/>
    <w:rsid w:val="00A77055"/>
    <w:rsid w:val="00A80490"/>
    <w:rsid w:val="00A941F7"/>
    <w:rsid w:val="00AB0642"/>
    <w:rsid w:val="00AD31EC"/>
    <w:rsid w:val="00AD7385"/>
    <w:rsid w:val="00AE07F5"/>
    <w:rsid w:val="00AE45A9"/>
    <w:rsid w:val="00AF6EA5"/>
    <w:rsid w:val="00B11405"/>
    <w:rsid w:val="00B450BB"/>
    <w:rsid w:val="00B52CA6"/>
    <w:rsid w:val="00B9393A"/>
    <w:rsid w:val="00BD435C"/>
    <w:rsid w:val="00C10CFD"/>
    <w:rsid w:val="00C5222F"/>
    <w:rsid w:val="00C61EEB"/>
    <w:rsid w:val="00C753F7"/>
    <w:rsid w:val="00C82A30"/>
    <w:rsid w:val="00C830DE"/>
    <w:rsid w:val="00C930EF"/>
    <w:rsid w:val="00C964C0"/>
    <w:rsid w:val="00CA0B31"/>
    <w:rsid w:val="00CD7DA4"/>
    <w:rsid w:val="00CE3075"/>
    <w:rsid w:val="00CE30EA"/>
    <w:rsid w:val="00CE5F29"/>
    <w:rsid w:val="00CF2588"/>
    <w:rsid w:val="00CF7432"/>
    <w:rsid w:val="00D2337F"/>
    <w:rsid w:val="00D27E96"/>
    <w:rsid w:val="00D34D93"/>
    <w:rsid w:val="00D51C76"/>
    <w:rsid w:val="00D56DFD"/>
    <w:rsid w:val="00D57478"/>
    <w:rsid w:val="00D76F18"/>
    <w:rsid w:val="00D8049E"/>
    <w:rsid w:val="00D81A0A"/>
    <w:rsid w:val="00DB32C7"/>
    <w:rsid w:val="00DB3AF1"/>
    <w:rsid w:val="00DB51BA"/>
    <w:rsid w:val="00DB72B9"/>
    <w:rsid w:val="00DE7011"/>
    <w:rsid w:val="00E02436"/>
    <w:rsid w:val="00E32E6C"/>
    <w:rsid w:val="00E52DCF"/>
    <w:rsid w:val="00EA5932"/>
    <w:rsid w:val="00EB2125"/>
    <w:rsid w:val="00EB7EBC"/>
    <w:rsid w:val="00EE261F"/>
    <w:rsid w:val="00F217C1"/>
    <w:rsid w:val="00F27A66"/>
    <w:rsid w:val="00F27C92"/>
    <w:rsid w:val="00F40B4F"/>
    <w:rsid w:val="00F55139"/>
    <w:rsid w:val="00F72862"/>
    <w:rsid w:val="00F77B25"/>
    <w:rsid w:val="00F90B95"/>
    <w:rsid w:val="00F916E1"/>
    <w:rsid w:val="00FC17FE"/>
    <w:rsid w:val="00FF16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ADF4"/>
  <w15:chartTrackingRefBased/>
  <w15:docId w15:val="{7EBA2D54-F7DA-4131-B94A-4690A590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91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91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916E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F916E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916E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916E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916E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916E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916E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16E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916E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916E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F916E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916E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916E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916E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916E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916E1"/>
    <w:rPr>
      <w:rFonts w:eastAsiaTheme="majorEastAsia" w:cstheme="majorBidi"/>
      <w:color w:val="272727" w:themeColor="text1" w:themeTint="D8"/>
    </w:rPr>
  </w:style>
  <w:style w:type="paragraph" w:styleId="KonuBal">
    <w:name w:val="Title"/>
    <w:basedOn w:val="Normal"/>
    <w:next w:val="Normal"/>
    <w:link w:val="KonuBalChar"/>
    <w:uiPriority w:val="10"/>
    <w:qFormat/>
    <w:rsid w:val="00F91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916E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916E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916E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916E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916E1"/>
    <w:rPr>
      <w:i/>
      <w:iCs/>
      <w:color w:val="404040" w:themeColor="text1" w:themeTint="BF"/>
    </w:rPr>
  </w:style>
  <w:style w:type="paragraph" w:styleId="ListeParagraf">
    <w:name w:val="List Paragraph"/>
    <w:basedOn w:val="Normal"/>
    <w:uiPriority w:val="1"/>
    <w:qFormat/>
    <w:rsid w:val="00F916E1"/>
    <w:pPr>
      <w:ind w:left="720"/>
      <w:contextualSpacing/>
    </w:pPr>
  </w:style>
  <w:style w:type="character" w:styleId="GlVurgulama">
    <w:name w:val="Intense Emphasis"/>
    <w:basedOn w:val="VarsaylanParagrafYazTipi"/>
    <w:uiPriority w:val="21"/>
    <w:qFormat/>
    <w:rsid w:val="00F916E1"/>
    <w:rPr>
      <w:i/>
      <w:iCs/>
      <w:color w:val="2F5496" w:themeColor="accent1" w:themeShade="BF"/>
    </w:rPr>
  </w:style>
  <w:style w:type="paragraph" w:styleId="GlAlnt">
    <w:name w:val="Intense Quote"/>
    <w:basedOn w:val="Normal"/>
    <w:next w:val="Normal"/>
    <w:link w:val="GlAlntChar"/>
    <w:uiPriority w:val="30"/>
    <w:qFormat/>
    <w:rsid w:val="00F91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916E1"/>
    <w:rPr>
      <w:i/>
      <w:iCs/>
      <w:color w:val="2F5496" w:themeColor="accent1" w:themeShade="BF"/>
    </w:rPr>
  </w:style>
  <w:style w:type="character" w:styleId="GlBavuru">
    <w:name w:val="Intense Reference"/>
    <w:basedOn w:val="VarsaylanParagrafYazTipi"/>
    <w:uiPriority w:val="32"/>
    <w:qFormat/>
    <w:rsid w:val="00F916E1"/>
    <w:rPr>
      <w:b/>
      <w:bCs/>
      <w:smallCaps/>
      <w:color w:val="2F5496" w:themeColor="accent1" w:themeShade="BF"/>
      <w:spacing w:val="5"/>
    </w:rPr>
  </w:style>
  <w:style w:type="paragraph" w:styleId="stBilgi">
    <w:name w:val="header"/>
    <w:basedOn w:val="Normal"/>
    <w:link w:val="stBilgiChar"/>
    <w:uiPriority w:val="99"/>
    <w:unhideWhenUsed/>
    <w:rsid w:val="004C3D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3DC3"/>
  </w:style>
  <w:style w:type="paragraph" w:styleId="AltBilgi">
    <w:name w:val="footer"/>
    <w:basedOn w:val="Normal"/>
    <w:link w:val="AltBilgiChar"/>
    <w:uiPriority w:val="99"/>
    <w:unhideWhenUsed/>
    <w:rsid w:val="004C3D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3DC3"/>
  </w:style>
  <w:style w:type="character" w:styleId="Kpr">
    <w:name w:val="Hyperlink"/>
    <w:basedOn w:val="VarsaylanParagrafYazTipi"/>
    <w:uiPriority w:val="99"/>
    <w:unhideWhenUsed/>
    <w:rsid w:val="00267278"/>
    <w:rPr>
      <w:color w:val="0563C1" w:themeColor="hyperlink"/>
      <w:u w:val="single"/>
    </w:rPr>
  </w:style>
  <w:style w:type="character" w:styleId="zmlenmeyenBahsetme">
    <w:name w:val="Unresolved Mention"/>
    <w:basedOn w:val="VarsaylanParagrafYazTipi"/>
    <w:uiPriority w:val="99"/>
    <w:semiHidden/>
    <w:unhideWhenUsed/>
    <w:rsid w:val="00267278"/>
    <w:rPr>
      <w:color w:val="605E5C"/>
      <w:shd w:val="clear" w:color="auto" w:fill="E1DFDD"/>
    </w:rPr>
  </w:style>
  <w:style w:type="character" w:styleId="zlenenKpr">
    <w:name w:val="FollowedHyperlink"/>
    <w:basedOn w:val="VarsaylanParagrafYazTipi"/>
    <w:uiPriority w:val="99"/>
    <w:semiHidden/>
    <w:unhideWhenUsed/>
    <w:rsid w:val="00267278"/>
    <w:rPr>
      <w:color w:val="954F72" w:themeColor="followedHyperlink"/>
      <w:u w:val="single"/>
    </w:rPr>
  </w:style>
  <w:style w:type="table" w:customStyle="1" w:styleId="TableNormal">
    <w:name w:val="Table Normal"/>
    <w:uiPriority w:val="2"/>
    <w:semiHidden/>
    <w:unhideWhenUsed/>
    <w:qFormat/>
    <w:rsid w:val="00C930E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930E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C930EF"/>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930EF"/>
    <w:pPr>
      <w:widowControl w:val="0"/>
      <w:autoSpaceDE w:val="0"/>
      <w:autoSpaceDN w:val="0"/>
      <w:spacing w:before="114" w:after="0" w:line="240" w:lineRule="auto"/>
      <w:jc w:val="center"/>
    </w:pPr>
    <w:rPr>
      <w:rFonts w:ascii="Times New Roman" w:eastAsia="Times New Roman" w:hAnsi="Times New Roman" w:cs="Times New Roman"/>
      <w:kern w:val="0"/>
      <w:sz w:val="22"/>
      <w:szCs w:val="22"/>
      <w14:ligatures w14:val="none"/>
    </w:rPr>
  </w:style>
  <w:style w:type="character" w:styleId="Gl">
    <w:name w:val="Strong"/>
    <w:basedOn w:val="VarsaylanParagrafYazTipi"/>
    <w:uiPriority w:val="22"/>
    <w:qFormat/>
    <w:rsid w:val="00384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48</Pages>
  <Words>10733</Words>
  <Characters>61184</Characters>
  <Application>Microsoft Office Word</Application>
  <DocSecurity>0</DocSecurity>
  <Lines>509</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 Oral</dc:creator>
  <cp:keywords/>
  <dc:description/>
  <cp:lastModifiedBy>Didem Oral</cp:lastModifiedBy>
  <cp:revision>4</cp:revision>
  <dcterms:created xsi:type="dcterms:W3CDTF">2026-01-12T00:41:00Z</dcterms:created>
  <dcterms:modified xsi:type="dcterms:W3CDTF">2026-01-12T15:45:00Z</dcterms:modified>
</cp:coreProperties>
</file>